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A1FC" w14:textId="77777777" w:rsidR="000E3798" w:rsidRPr="009944A2" w:rsidRDefault="000E3798" w:rsidP="000E3798">
      <w:pPr>
        <w:spacing w:after="0"/>
        <w:jc w:val="center"/>
        <w:rPr>
          <w:rFonts w:ascii="Open Sans" w:hAnsi="Open Sans" w:cs="Open Sans"/>
          <w:b/>
          <w:bCs/>
        </w:rPr>
      </w:pPr>
    </w:p>
    <w:p w14:paraId="74AB3E06" w14:textId="343DA82D" w:rsidR="00B94566" w:rsidRPr="00D60597" w:rsidRDefault="000D4A91" w:rsidP="000E3798">
      <w:pPr>
        <w:spacing w:after="0"/>
        <w:jc w:val="center"/>
        <w:rPr>
          <w:rFonts w:ascii="Montserrat Medium" w:hAnsi="Montserrat Medium" w:cs="Open Sans"/>
          <w:sz w:val="28"/>
          <w:szCs w:val="28"/>
        </w:rPr>
      </w:pPr>
      <w:r w:rsidRPr="00D60597">
        <w:rPr>
          <w:rFonts w:ascii="Montserrat Medium" w:hAnsi="Montserrat Medium" w:cs="Open Sans"/>
          <w:sz w:val="28"/>
          <w:szCs w:val="28"/>
        </w:rPr>
        <w:t>QUARTETTO JERUSALEM</w:t>
      </w:r>
    </w:p>
    <w:p w14:paraId="092AF1A1" w14:textId="577EB904" w:rsidR="00103B4B" w:rsidRDefault="000D4A91" w:rsidP="000E3798">
      <w:pPr>
        <w:spacing w:after="0"/>
        <w:jc w:val="center"/>
        <w:rPr>
          <w:rFonts w:ascii="Montserrat" w:hAnsi="Montserrat" w:cs="Open Sans"/>
          <w:i/>
          <w:iCs/>
          <w:sz w:val="24"/>
          <w:szCs w:val="24"/>
        </w:rPr>
      </w:pPr>
      <w:r w:rsidRPr="009944A2">
        <w:rPr>
          <w:rFonts w:ascii="Montserrat" w:hAnsi="Montserrat" w:cs="Open Sans"/>
          <w:i/>
          <w:iCs/>
          <w:sz w:val="24"/>
          <w:szCs w:val="24"/>
        </w:rPr>
        <w:t>Alexander Pavlovsky</w:t>
      </w:r>
      <w:r w:rsidR="00103B4B">
        <w:rPr>
          <w:rFonts w:ascii="Montserrat" w:hAnsi="Montserrat" w:cs="Open Sans"/>
          <w:i/>
          <w:iCs/>
          <w:sz w:val="24"/>
          <w:szCs w:val="24"/>
        </w:rPr>
        <w:t xml:space="preserve"> – </w:t>
      </w:r>
      <w:r w:rsidRPr="009944A2">
        <w:rPr>
          <w:rFonts w:ascii="Montserrat" w:hAnsi="Montserrat" w:cs="Open Sans"/>
          <w:i/>
          <w:iCs/>
          <w:sz w:val="24"/>
          <w:szCs w:val="24"/>
        </w:rPr>
        <w:t>violino</w:t>
      </w:r>
      <w:r w:rsidR="00103B4B">
        <w:rPr>
          <w:rFonts w:ascii="Montserrat" w:hAnsi="Montserrat" w:cs="Open Sans"/>
          <w:i/>
          <w:iCs/>
          <w:sz w:val="24"/>
          <w:szCs w:val="24"/>
        </w:rPr>
        <w:t xml:space="preserve"> </w:t>
      </w:r>
    </w:p>
    <w:p w14:paraId="37869053" w14:textId="6733D793" w:rsidR="0060055E" w:rsidRPr="009944A2" w:rsidRDefault="000D4A91" w:rsidP="000E3798">
      <w:pPr>
        <w:spacing w:after="0"/>
        <w:jc w:val="center"/>
        <w:rPr>
          <w:rFonts w:ascii="Montserrat" w:hAnsi="Montserrat" w:cs="Open Sans"/>
          <w:i/>
          <w:iCs/>
          <w:sz w:val="24"/>
          <w:szCs w:val="24"/>
        </w:rPr>
      </w:pPr>
      <w:r w:rsidRPr="009944A2">
        <w:rPr>
          <w:rFonts w:ascii="Montserrat" w:hAnsi="Montserrat" w:cs="Open Sans"/>
          <w:i/>
          <w:iCs/>
          <w:sz w:val="24"/>
          <w:szCs w:val="24"/>
        </w:rPr>
        <w:t xml:space="preserve">Sergei Bresler </w:t>
      </w:r>
      <w:r w:rsidR="00B11ADF">
        <w:rPr>
          <w:rFonts w:ascii="Montserrat" w:hAnsi="Montserrat" w:cs="Open Sans"/>
          <w:i/>
          <w:iCs/>
          <w:sz w:val="24"/>
          <w:szCs w:val="24"/>
        </w:rPr>
        <w:t xml:space="preserve">– </w:t>
      </w:r>
      <w:r w:rsidRPr="009944A2">
        <w:rPr>
          <w:rFonts w:ascii="Montserrat" w:hAnsi="Montserrat" w:cs="Open Sans"/>
          <w:i/>
          <w:iCs/>
          <w:sz w:val="24"/>
          <w:szCs w:val="24"/>
        </w:rPr>
        <w:t>violino</w:t>
      </w:r>
      <w:r w:rsidR="00B11ADF">
        <w:rPr>
          <w:rFonts w:ascii="Montserrat" w:hAnsi="Montserrat" w:cs="Open Sans"/>
          <w:i/>
          <w:iCs/>
          <w:sz w:val="24"/>
          <w:szCs w:val="24"/>
        </w:rPr>
        <w:t xml:space="preserve"> </w:t>
      </w:r>
    </w:p>
    <w:p w14:paraId="51C3F75C" w14:textId="1379825F" w:rsidR="00103B4B" w:rsidRDefault="009A2FF4" w:rsidP="000E3798">
      <w:pPr>
        <w:spacing w:after="0"/>
        <w:jc w:val="center"/>
        <w:rPr>
          <w:rFonts w:ascii="Montserrat" w:hAnsi="Montserrat" w:cs="Open Sans"/>
          <w:i/>
          <w:iCs/>
          <w:sz w:val="24"/>
          <w:szCs w:val="24"/>
        </w:rPr>
      </w:pPr>
      <w:r>
        <w:rPr>
          <w:rFonts w:ascii="Montserrat" w:hAnsi="Montserrat" w:cs="Open Sans"/>
          <w:i/>
          <w:iCs/>
          <w:sz w:val="24"/>
          <w:szCs w:val="24"/>
        </w:rPr>
        <w:t>Alexander Gordon</w:t>
      </w:r>
      <w:r w:rsidR="000D4A91" w:rsidRPr="009944A2">
        <w:rPr>
          <w:rFonts w:ascii="Montserrat" w:hAnsi="Montserrat" w:cs="Open Sans"/>
          <w:i/>
          <w:iCs/>
          <w:sz w:val="24"/>
          <w:szCs w:val="24"/>
        </w:rPr>
        <w:t xml:space="preserve"> </w:t>
      </w:r>
      <w:r w:rsidR="00B11ADF">
        <w:rPr>
          <w:rFonts w:ascii="Montserrat" w:hAnsi="Montserrat" w:cs="Open Sans"/>
          <w:i/>
          <w:iCs/>
          <w:sz w:val="24"/>
          <w:szCs w:val="24"/>
        </w:rPr>
        <w:t xml:space="preserve">– </w:t>
      </w:r>
      <w:r w:rsidR="000D4A91" w:rsidRPr="009944A2">
        <w:rPr>
          <w:rFonts w:ascii="Montserrat" w:hAnsi="Montserrat" w:cs="Open Sans"/>
          <w:i/>
          <w:iCs/>
          <w:sz w:val="24"/>
          <w:szCs w:val="24"/>
        </w:rPr>
        <w:t>viola</w:t>
      </w:r>
      <w:r w:rsidR="00B11ADF">
        <w:rPr>
          <w:rFonts w:ascii="Montserrat" w:hAnsi="Montserrat" w:cs="Open Sans"/>
          <w:i/>
          <w:iCs/>
          <w:sz w:val="24"/>
          <w:szCs w:val="24"/>
        </w:rPr>
        <w:t xml:space="preserve"> </w:t>
      </w:r>
    </w:p>
    <w:p w14:paraId="037C24F0" w14:textId="24A515EE" w:rsidR="000D4A91" w:rsidRPr="009944A2" w:rsidRDefault="000D4A91" w:rsidP="000E3798">
      <w:pPr>
        <w:spacing w:after="0"/>
        <w:jc w:val="center"/>
        <w:rPr>
          <w:rFonts w:ascii="Montserrat" w:hAnsi="Montserrat" w:cs="Open Sans"/>
          <w:i/>
          <w:iCs/>
          <w:sz w:val="24"/>
          <w:szCs w:val="24"/>
        </w:rPr>
      </w:pPr>
      <w:r w:rsidRPr="009944A2">
        <w:rPr>
          <w:rFonts w:ascii="Montserrat" w:hAnsi="Montserrat" w:cs="Open Sans"/>
          <w:i/>
          <w:iCs/>
          <w:sz w:val="24"/>
          <w:szCs w:val="24"/>
        </w:rPr>
        <w:t xml:space="preserve">Kyril Zlotnikov </w:t>
      </w:r>
      <w:r w:rsidR="00B11ADF">
        <w:rPr>
          <w:rFonts w:ascii="Montserrat" w:hAnsi="Montserrat" w:cs="Open Sans"/>
          <w:i/>
          <w:iCs/>
          <w:sz w:val="24"/>
          <w:szCs w:val="24"/>
        </w:rPr>
        <w:t xml:space="preserve">– </w:t>
      </w:r>
      <w:r w:rsidRPr="009944A2">
        <w:rPr>
          <w:rFonts w:ascii="Montserrat" w:hAnsi="Montserrat" w:cs="Open Sans"/>
          <w:i/>
          <w:iCs/>
          <w:sz w:val="24"/>
          <w:szCs w:val="24"/>
        </w:rPr>
        <w:t>violoncello</w:t>
      </w:r>
      <w:r w:rsidR="00B11ADF">
        <w:rPr>
          <w:rFonts w:ascii="Montserrat" w:hAnsi="Montserrat" w:cs="Open Sans"/>
          <w:i/>
          <w:iCs/>
          <w:sz w:val="24"/>
          <w:szCs w:val="24"/>
        </w:rPr>
        <w:t xml:space="preserve"> </w:t>
      </w:r>
    </w:p>
    <w:p w14:paraId="00292A15" w14:textId="77777777" w:rsidR="000E3798" w:rsidRPr="009944A2" w:rsidRDefault="000E3798" w:rsidP="000E3798">
      <w:pPr>
        <w:spacing w:after="0"/>
        <w:jc w:val="center"/>
        <w:rPr>
          <w:rFonts w:ascii="Open Sans" w:hAnsi="Open Sans" w:cs="Open Sans"/>
          <w:i/>
          <w:iCs/>
        </w:rPr>
      </w:pPr>
    </w:p>
    <w:p w14:paraId="6C4C51CE" w14:textId="59CE5A74" w:rsidR="00251241" w:rsidRPr="00251241" w:rsidRDefault="00251241" w:rsidP="001131B8">
      <w:pPr>
        <w:pStyle w:val="font7"/>
        <w:spacing w:before="0" w:beforeAutospacing="0"/>
        <w:jc w:val="both"/>
        <w:textAlignment w:val="baseline"/>
        <w:rPr>
          <w:rStyle w:val="wixguard"/>
          <w:rFonts w:ascii="Open Sans" w:hAnsi="Open Sans" w:cs="Open Sans"/>
          <w:sz w:val="22"/>
          <w:szCs w:val="22"/>
          <w:highlight w:val="yellow"/>
          <w:bdr w:val="none" w:sz="0" w:space="0" w:color="auto" w:frame="1"/>
        </w:rPr>
      </w:pPr>
      <w:r w:rsidRPr="00251241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“La loro passione travolgente, la precisione e il forte spirito di gruppo non hanno mai vacillato nel corso dei loro 30 anni di carriera</w:t>
      </w:r>
      <w:r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” </w:t>
      </w:r>
      <w:r w:rsidRPr="00251241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The Times, 2025</w:t>
      </w:r>
    </w:p>
    <w:p w14:paraId="27D16725" w14:textId="37EBD0B2" w:rsidR="00C97614" w:rsidRPr="00C97614" w:rsidRDefault="00C97614" w:rsidP="002345DB">
      <w:pPr>
        <w:pStyle w:val="font7"/>
        <w:jc w:val="both"/>
        <w:textAlignment w:val="baseline"/>
        <w:rPr>
          <w:rStyle w:val="wixguard"/>
          <w:rFonts w:ascii="Open Sans" w:hAnsi="Open Sans" w:cs="Open Sans"/>
          <w:sz w:val="22"/>
          <w:szCs w:val="22"/>
          <w:highlight w:val="yellow"/>
          <w:bdr w:val="none" w:sz="0" w:space="0" w:color="auto" w:frame="1"/>
        </w:rPr>
      </w:pPr>
      <w:r w:rsidRPr="00C97614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Fondato nel 1993 presso l’Accademia di Musica e Danza e il Centro Musicale di Gerusalemme, il Quartetto Jerusalem è stato caratterizzato fin dalle sue origini da storie personali molto diverse tra loro, tra le quali quelle di due membri emigrati dall’Ucraina e di uno dalla Bielorussia.</w:t>
      </w:r>
    </w:p>
    <w:p w14:paraId="626B991F" w14:textId="38E2279E" w:rsidR="00EF67D9" w:rsidRPr="00EF67D9" w:rsidRDefault="00EF67D9" w:rsidP="002345DB">
      <w:pPr>
        <w:pStyle w:val="font7"/>
        <w:jc w:val="both"/>
        <w:textAlignment w:val="baseline"/>
        <w:rPr>
          <w:rStyle w:val="wixguard"/>
          <w:rFonts w:ascii="Open Sans" w:hAnsi="Open Sans" w:cs="Open Sans"/>
          <w:sz w:val="22"/>
          <w:szCs w:val="22"/>
          <w:highlight w:val="yellow"/>
          <w:bdr w:val="none" w:sz="0" w:space="0" w:color="auto" w:frame="1"/>
        </w:rPr>
      </w:pPr>
      <w:r w:rsidRPr="00EF67D9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Il vasto repertorio e la straordinaria profondità espressiva ha consolidato il quartetto come una voce distintiva nella tradizione del quartetto d'archi. Al centro del suo suono si trova un timbro caldo, pieno e profondamente umano, accompagnato da un equilibrio paritario tra le voci acute e quelle gravi. Questo approccio consente al quartetto di coniugare l’espressività individuale con una resa trasparente e fedele dell’opera del compositore. </w:t>
      </w:r>
      <w:r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È </w:t>
      </w:r>
      <w:r w:rsidRPr="00EF67D9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inoltre alla base del suo continuo perfezionamento delle interpretazioni del repertorio classico, incoraggiando al contempo l’esplorazione di nuovi territori musicali.</w:t>
      </w:r>
    </w:p>
    <w:p w14:paraId="00F94812" w14:textId="1A77BE3E" w:rsidR="00E77C39" w:rsidRPr="00E77C39" w:rsidRDefault="00E77C39" w:rsidP="002345DB">
      <w:pPr>
        <w:pStyle w:val="font7"/>
        <w:jc w:val="both"/>
        <w:textAlignment w:val="baseline"/>
        <w:rPr>
          <w:rStyle w:val="wixguard"/>
          <w:rFonts w:ascii="Open Sans" w:hAnsi="Open Sans" w:cs="Open Sans"/>
          <w:sz w:val="22"/>
          <w:szCs w:val="22"/>
          <w:highlight w:val="yellow"/>
          <w:bdr w:val="none" w:sz="0" w:space="0" w:color="auto" w:frame="1"/>
        </w:rPr>
      </w:pPr>
      <w:r w:rsidRPr="00E77C39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Nella stagione 2025/26, il Quartetto Jerusalem ha celebrato il suo trentesimo anniversario con un ciclo internazionale di esecuzioni dell’Integrale dei Quartetti per archi di </w:t>
      </w:r>
      <w:r w:rsidR="00777C5A"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Shostakovich</w:t>
      </w:r>
      <w:r w:rsidR="00777C5A" w:rsidRPr="00E77C39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</w:t>
      </w:r>
      <w:r w:rsidRPr="00E77C39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(un repertorio da tempo legato all'ensemble), in sedi quali la </w:t>
      </w:r>
      <w:r w:rsidRPr="00E77C39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Wigmore Hall</w:t>
      </w:r>
      <w:r w:rsidR="006D4C17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di Londra</w:t>
      </w:r>
      <w:r w:rsidRPr="00E77C39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, la </w:t>
      </w:r>
      <w:proofErr w:type="spellStart"/>
      <w:r w:rsidRPr="00E77C39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Tonhalle</w:t>
      </w:r>
      <w:proofErr w:type="spellEnd"/>
      <w:r w:rsidRPr="00E77C39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di Zurigo e il </w:t>
      </w:r>
      <w:proofErr w:type="spellStart"/>
      <w:r w:rsidRPr="00E77C39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Concertgebouw</w:t>
      </w:r>
      <w:proofErr w:type="spellEnd"/>
      <w:r w:rsidRPr="00E77C39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di Amsterdam. La stagione dell’anniversario ha segnato anche l’inizio di una collaborazione esclusiva con l’etichetta </w:t>
      </w:r>
      <w:r w:rsidRPr="00E77C39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BIS Records</w:t>
      </w:r>
      <w:r w:rsidRPr="00E77C39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, che pubblicherà la registrazione completa del ciclo. </w:t>
      </w:r>
    </w:p>
    <w:p w14:paraId="0D765117" w14:textId="164E191E" w:rsidR="001064A8" w:rsidRDefault="001064A8" w:rsidP="002345DB">
      <w:pPr>
        <w:pStyle w:val="font7"/>
        <w:jc w:val="both"/>
        <w:textAlignment w:val="baseline"/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</w:pPr>
      <w:r w:rsidRPr="001064A8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Tra i momenti salienti della stagione 2026/27 figurano due tournée nordamericane, oltre a esibizioni in importanti sale europee, tra le quali la </w:t>
      </w:r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Wigmore Hall</w:t>
      </w:r>
      <w:r w:rsidRPr="001064A8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di Londra, il </w:t>
      </w:r>
      <w:proofErr w:type="spellStart"/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Théâtre</w:t>
      </w:r>
      <w:proofErr w:type="spellEnd"/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des</w:t>
      </w:r>
      <w:proofErr w:type="spellEnd"/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Champs-Élysées</w:t>
      </w:r>
      <w:proofErr w:type="spellEnd"/>
      <w:r w:rsidRPr="001064A8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di Parigi, la </w:t>
      </w:r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National Philharmonic</w:t>
      </w:r>
      <w:r w:rsidRPr="001064A8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di Varsavia, la </w:t>
      </w:r>
      <w:proofErr w:type="spellStart"/>
      <w:r w:rsidR="004D61AD" w:rsidRPr="004D61AD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Laeiszhalle</w:t>
      </w:r>
      <w:proofErr w:type="spellEnd"/>
      <w:r w:rsidR="004D61AD" w:rsidRPr="004D61AD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 xml:space="preserve"> </w:t>
      </w:r>
      <w:r w:rsidRPr="001064A8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di Amburgo e l’</w:t>
      </w:r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 xml:space="preserve">Auditorio </w:t>
      </w:r>
      <w:proofErr w:type="spellStart"/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Nacional</w:t>
      </w:r>
      <w:proofErr w:type="spellEnd"/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Música</w:t>
      </w:r>
      <w:proofErr w:type="spellEnd"/>
      <w:r w:rsidRPr="00620B9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 xml:space="preserve"> </w:t>
      </w:r>
      <w:r w:rsidRPr="001064A8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di Madrid.</w:t>
      </w:r>
    </w:p>
    <w:p w14:paraId="7C9A4D2C" w14:textId="633986BC" w:rsidR="001131B8" w:rsidRDefault="001131B8" w:rsidP="001131B8">
      <w:pPr>
        <w:pStyle w:val="font7"/>
        <w:spacing w:before="0" w:beforeAutospacing="0" w:after="160" w:afterAutospacing="0"/>
        <w:jc w:val="both"/>
        <w:textAlignment w:val="baseline"/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</w:pPr>
      <w:r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Le registrazioni del </w:t>
      </w:r>
      <w:r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Quartetto Jerusalem</w:t>
      </w:r>
      <w:r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hanno ricevuto numerosi riconoscimenti, tra cui il </w:t>
      </w:r>
      <w:r w:rsidRPr="005D39CE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Diapason d'Or</w:t>
      </w:r>
      <w:r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e il </w:t>
      </w:r>
      <w:r w:rsidRPr="005D39CE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BBC Music Magazine Award</w:t>
      </w:r>
      <w:r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</w:t>
      </w:r>
      <w:r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nella categoria di musica da camera</w:t>
      </w:r>
      <w:r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. </w:t>
      </w:r>
      <w:r w:rsidR="009E4EC7" w:rsidRPr="009E4EC7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Tra le loro precedenti registrazioni per </w:t>
      </w:r>
      <w:r w:rsidR="009E4EC7" w:rsidRPr="009E4EC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Harmonia Mundi</w:t>
      </w:r>
      <w:r w:rsidR="009E4EC7" w:rsidRPr="009E4EC7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figurano un’esplorazione unica della musica ebraica nell’Europa centrale tra le due guerre mondiali, con una selezione di canzoni cabarettistiche </w:t>
      </w:r>
      <w:r w:rsidR="009E4EC7" w:rsidRPr="009E4EC7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yiddish</w:t>
      </w:r>
      <w:r w:rsidR="009E4EC7" w:rsidRPr="009E4EC7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della Varsavia degli anni ’20, registrata con la soprano israeliana Hila Baggio, nonché il secondo volume del loro ciclo completo dedicato a Bartók, pubblicato nel 2020.</w:t>
      </w:r>
      <w:r w:rsidR="009E4EC7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</w:t>
      </w:r>
      <w:r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Oggi il </w:t>
      </w:r>
      <w:r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Q</w:t>
      </w:r>
      <w:r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uartetto registra in esclusiva per l'etichetta </w:t>
      </w:r>
      <w:r w:rsidRPr="00990C55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BIS</w:t>
      </w:r>
      <w:r w:rsidR="00777C5A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 xml:space="preserve"> Records</w:t>
      </w:r>
      <w:r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: l</w:t>
      </w:r>
      <w:r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a prima pubblicazione con questa etichetta</w:t>
      </w:r>
      <w:r w:rsidR="00DA14AF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, nel 2025, ha compreso</w:t>
      </w:r>
      <w:r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 xml:space="preserve"> i </w:t>
      </w:r>
      <w:r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Q</w:t>
      </w:r>
      <w:r w:rsidRPr="00D84BB2"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  <w:t>uartetti n. 2, 7 e 10 di Shostakovich.</w:t>
      </w:r>
    </w:p>
    <w:p w14:paraId="248D3C8A" w14:textId="75FCC98D" w:rsidR="00E777FA" w:rsidRPr="00E777FA" w:rsidRDefault="00E777FA" w:rsidP="001131B8">
      <w:pPr>
        <w:pStyle w:val="font7"/>
        <w:spacing w:before="0" w:beforeAutospacing="0" w:after="160" w:afterAutospacing="0"/>
        <w:jc w:val="both"/>
        <w:textAlignment w:val="baseline"/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</w:pPr>
      <w:r w:rsidRPr="00E777FA">
        <w:rPr>
          <w:rStyle w:val="wixguard"/>
          <w:rFonts w:ascii="Open Sans" w:hAnsi="Open Sans" w:cs="Open Sans"/>
          <w:i/>
          <w:iCs/>
          <w:sz w:val="22"/>
          <w:szCs w:val="22"/>
          <w:bdr w:val="none" w:sz="0" w:space="0" w:color="auto" w:frame="1"/>
        </w:rPr>
        <w:t>2026/27</w:t>
      </w:r>
    </w:p>
    <w:p w14:paraId="3C5FB8B3" w14:textId="77777777" w:rsidR="00C848FF" w:rsidRPr="009E4EC7" w:rsidRDefault="00C848FF" w:rsidP="00C848FF">
      <w:pPr>
        <w:pStyle w:val="font7"/>
        <w:spacing w:after="160" w:afterAutospacing="0"/>
        <w:jc w:val="both"/>
        <w:textAlignment w:val="baseline"/>
        <w:rPr>
          <w:rStyle w:val="wixguard"/>
          <w:rFonts w:ascii="Open Sans" w:hAnsi="Open Sans" w:cs="Open Sans"/>
          <w:sz w:val="22"/>
          <w:szCs w:val="22"/>
          <w:bdr w:val="none" w:sz="0" w:space="0" w:color="auto" w:frame="1"/>
        </w:rPr>
      </w:pPr>
    </w:p>
    <w:p w14:paraId="06714C81" w14:textId="77777777" w:rsidR="00DC6C30" w:rsidRPr="009E4EC7" w:rsidRDefault="00DC6C30">
      <w:pPr>
        <w:pStyle w:val="font7"/>
        <w:spacing w:before="0" w:beforeAutospacing="0" w:after="160" w:afterAutospacing="0"/>
        <w:jc w:val="both"/>
        <w:textAlignment w:val="baseline"/>
        <w:rPr>
          <w:rFonts w:ascii="Open Sans" w:hAnsi="Open Sans" w:cs="Open Sans"/>
          <w:sz w:val="22"/>
          <w:szCs w:val="22"/>
        </w:rPr>
      </w:pPr>
    </w:p>
    <w:sectPr w:rsidR="00DC6C30" w:rsidRPr="009E4EC7" w:rsidSect="000E3798">
      <w:head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C8409" w14:textId="77777777" w:rsidR="002F7D28" w:rsidRDefault="002F7D28" w:rsidP="00B94566">
      <w:pPr>
        <w:spacing w:after="0" w:line="240" w:lineRule="auto"/>
      </w:pPr>
      <w:r>
        <w:separator/>
      </w:r>
    </w:p>
  </w:endnote>
  <w:endnote w:type="continuationSeparator" w:id="0">
    <w:p w14:paraId="2D74B489" w14:textId="77777777" w:rsidR="002F7D28" w:rsidRDefault="002F7D28" w:rsidP="00B9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BD552" w14:textId="77777777" w:rsidR="002F7D28" w:rsidRDefault="002F7D28" w:rsidP="00B94566">
      <w:pPr>
        <w:spacing w:after="0" w:line="240" w:lineRule="auto"/>
      </w:pPr>
      <w:r>
        <w:separator/>
      </w:r>
    </w:p>
  </w:footnote>
  <w:footnote w:type="continuationSeparator" w:id="0">
    <w:p w14:paraId="5281F4A5" w14:textId="77777777" w:rsidR="002F7D28" w:rsidRDefault="002F7D28" w:rsidP="00B9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858E" w14:textId="77777777" w:rsidR="008A5E08" w:rsidRPr="001D568A" w:rsidRDefault="008A5E08" w:rsidP="008A5E08">
    <w:pPr>
      <w:pStyle w:val="paragraph"/>
      <w:spacing w:before="0" w:beforeAutospacing="0" w:after="0" w:afterAutospacing="0" w:line="168" w:lineRule="auto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1D568A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 BALDRIGHI</w:t>
    </w:r>
  </w:p>
  <w:p w14:paraId="17CA7A25" w14:textId="77777777" w:rsidR="008A5E08" w:rsidRDefault="008A5E08" w:rsidP="008A5E08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4DBCA3F3" w14:textId="77777777" w:rsidR="008A5E08" w:rsidRDefault="008A5E08" w:rsidP="008A5E08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58EA7831" w14:textId="77777777" w:rsidR="008A5E08" w:rsidRDefault="008A5E08" w:rsidP="008A5E08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3611E49D" w14:textId="77777777" w:rsidR="008A5E08" w:rsidRPr="00B94566" w:rsidRDefault="008A5E08" w:rsidP="008A5E08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  <w:p w14:paraId="234251FD" w14:textId="4FECD70A" w:rsidR="00B94566" w:rsidRPr="008A5E08" w:rsidRDefault="00B94566" w:rsidP="008A5E08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6"/>
    <w:rsid w:val="00024159"/>
    <w:rsid w:val="000326A1"/>
    <w:rsid w:val="00045EEB"/>
    <w:rsid w:val="000D4A91"/>
    <w:rsid w:val="000E3798"/>
    <w:rsid w:val="00103B4B"/>
    <w:rsid w:val="00104D45"/>
    <w:rsid w:val="001064A8"/>
    <w:rsid w:val="001131B8"/>
    <w:rsid w:val="00114B2A"/>
    <w:rsid w:val="00123F8E"/>
    <w:rsid w:val="001271ED"/>
    <w:rsid w:val="0013285F"/>
    <w:rsid w:val="001503B4"/>
    <w:rsid w:val="0017436D"/>
    <w:rsid w:val="00180DDB"/>
    <w:rsid w:val="001D04AD"/>
    <w:rsid w:val="001D568A"/>
    <w:rsid w:val="002147D3"/>
    <w:rsid w:val="0022037A"/>
    <w:rsid w:val="00231048"/>
    <w:rsid w:val="002345DB"/>
    <w:rsid w:val="00251241"/>
    <w:rsid w:val="00273D66"/>
    <w:rsid w:val="00280D92"/>
    <w:rsid w:val="002909E1"/>
    <w:rsid w:val="002D5AE4"/>
    <w:rsid w:val="002D7433"/>
    <w:rsid w:val="002D7465"/>
    <w:rsid w:val="002E5F70"/>
    <w:rsid w:val="002F7D28"/>
    <w:rsid w:val="00306CA5"/>
    <w:rsid w:val="00306E33"/>
    <w:rsid w:val="003128B3"/>
    <w:rsid w:val="00331AAD"/>
    <w:rsid w:val="00376D64"/>
    <w:rsid w:val="00382E2D"/>
    <w:rsid w:val="003834A4"/>
    <w:rsid w:val="003851F1"/>
    <w:rsid w:val="003A2254"/>
    <w:rsid w:val="003E5062"/>
    <w:rsid w:val="00411169"/>
    <w:rsid w:val="0041729E"/>
    <w:rsid w:val="00481A89"/>
    <w:rsid w:val="00486378"/>
    <w:rsid w:val="004975D2"/>
    <w:rsid w:val="004A4F14"/>
    <w:rsid w:val="004D24A6"/>
    <w:rsid w:val="004D61AD"/>
    <w:rsid w:val="004E45F2"/>
    <w:rsid w:val="004F6D63"/>
    <w:rsid w:val="005369F5"/>
    <w:rsid w:val="00550F95"/>
    <w:rsid w:val="0059469B"/>
    <w:rsid w:val="005D39CE"/>
    <w:rsid w:val="005E20E3"/>
    <w:rsid w:val="005E7E87"/>
    <w:rsid w:val="00600530"/>
    <w:rsid w:val="0060055E"/>
    <w:rsid w:val="00606ECB"/>
    <w:rsid w:val="00620B97"/>
    <w:rsid w:val="006719E4"/>
    <w:rsid w:val="006C18F4"/>
    <w:rsid w:val="006C4514"/>
    <w:rsid w:val="006D2D45"/>
    <w:rsid w:val="006D4C17"/>
    <w:rsid w:val="006E5F75"/>
    <w:rsid w:val="00703A19"/>
    <w:rsid w:val="00721981"/>
    <w:rsid w:val="007427F5"/>
    <w:rsid w:val="00753B53"/>
    <w:rsid w:val="00774FE6"/>
    <w:rsid w:val="00777098"/>
    <w:rsid w:val="00777C5A"/>
    <w:rsid w:val="007E0C03"/>
    <w:rsid w:val="007F7962"/>
    <w:rsid w:val="00822E30"/>
    <w:rsid w:val="00860956"/>
    <w:rsid w:val="008732A6"/>
    <w:rsid w:val="008810AE"/>
    <w:rsid w:val="008A5E08"/>
    <w:rsid w:val="009051DE"/>
    <w:rsid w:val="0093278F"/>
    <w:rsid w:val="00983D39"/>
    <w:rsid w:val="00990C55"/>
    <w:rsid w:val="009944A2"/>
    <w:rsid w:val="009A2FF4"/>
    <w:rsid w:val="009C7BA0"/>
    <w:rsid w:val="009E4EC7"/>
    <w:rsid w:val="00A038E6"/>
    <w:rsid w:val="00A47354"/>
    <w:rsid w:val="00A66C84"/>
    <w:rsid w:val="00AB41EF"/>
    <w:rsid w:val="00AB7103"/>
    <w:rsid w:val="00AE246A"/>
    <w:rsid w:val="00B00A71"/>
    <w:rsid w:val="00B11ADF"/>
    <w:rsid w:val="00B3051E"/>
    <w:rsid w:val="00B3295C"/>
    <w:rsid w:val="00B617E4"/>
    <w:rsid w:val="00B9339E"/>
    <w:rsid w:val="00B94566"/>
    <w:rsid w:val="00BA1EF7"/>
    <w:rsid w:val="00BA7A79"/>
    <w:rsid w:val="00BB7A11"/>
    <w:rsid w:val="00BC4E53"/>
    <w:rsid w:val="00BD17E4"/>
    <w:rsid w:val="00C021CB"/>
    <w:rsid w:val="00C47C90"/>
    <w:rsid w:val="00C848FF"/>
    <w:rsid w:val="00C97614"/>
    <w:rsid w:val="00CB15FE"/>
    <w:rsid w:val="00CC56C4"/>
    <w:rsid w:val="00CE40C3"/>
    <w:rsid w:val="00D60597"/>
    <w:rsid w:val="00D6415F"/>
    <w:rsid w:val="00D84BB2"/>
    <w:rsid w:val="00D875C6"/>
    <w:rsid w:val="00DA14AF"/>
    <w:rsid w:val="00DA4A87"/>
    <w:rsid w:val="00DC6C30"/>
    <w:rsid w:val="00DD7CE1"/>
    <w:rsid w:val="00DE2BE4"/>
    <w:rsid w:val="00E1675D"/>
    <w:rsid w:val="00E64CFF"/>
    <w:rsid w:val="00E777FA"/>
    <w:rsid w:val="00E77C39"/>
    <w:rsid w:val="00E8589F"/>
    <w:rsid w:val="00E93A99"/>
    <w:rsid w:val="00E9467A"/>
    <w:rsid w:val="00ED3F78"/>
    <w:rsid w:val="00EE4362"/>
    <w:rsid w:val="00EF0DFC"/>
    <w:rsid w:val="00EF67D9"/>
    <w:rsid w:val="00F13509"/>
    <w:rsid w:val="00F44D6B"/>
    <w:rsid w:val="00F75B00"/>
    <w:rsid w:val="00F820A2"/>
    <w:rsid w:val="00FA1C77"/>
    <w:rsid w:val="00FA705B"/>
    <w:rsid w:val="00FD26AE"/>
    <w:rsid w:val="00FE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E493A"/>
  <w15:chartTrackingRefBased/>
  <w15:docId w15:val="{5611BF9F-C020-46B2-9673-47AE3CC3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566"/>
  </w:style>
  <w:style w:type="paragraph" w:styleId="Pidipagina">
    <w:name w:val="footer"/>
    <w:basedOn w:val="Normale"/>
    <w:link w:val="Pidipagina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566"/>
  </w:style>
  <w:style w:type="character" w:styleId="Collegamentoipertestuale">
    <w:name w:val="Hyperlink"/>
    <w:basedOn w:val="Carpredefinitoparagrafo"/>
    <w:uiPriority w:val="99"/>
    <w:semiHidden/>
    <w:unhideWhenUsed/>
    <w:rsid w:val="00B9456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B9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94566"/>
  </w:style>
  <w:style w:type="character" w:customStyle="1" w:styleId="eop">
    <w:name w:val="eop"/>
    <w:basedOn w:val="Carpredefinitoparagrafo"/>
    <w:rsid w:val="00B94566"/>
  </w:style>
  <w:style w:type="paragraph" w:customStyle="1" w:styleId="font7">
    <w:name w:val="font_7"/>
    <w:basedOn w:val="Normale"/>
    <w:rsid w:val="0003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ixui-rich-texttext">
    <w:name w:val="wixui-rich-text__text"/>
    <w:basedOn w:val="Carpredefinitoparagrafo"/>
    <w:rsid w:val="000326A1"/>
  </w:style>
  <w:style w:type="character" w:customStyle="1" w:styleId="wixguard">
    <w:name w:val="wixguard"/>
    <w:basedOn w:val="Carpredefinitoparagrafo"/>
    <w:rsid w:val="00032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32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3068">
                  <w:marLeft w:val="0"/>
                  <w:marRight w:val="0"/>
                  <w:marTop w:val="0"/>
                  <w:marBottom w:val="0"/>
                  <w:divBdr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divBdr>
                </w:div>
                <w:div w:id="19685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08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168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1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5386">
                  <w:marLeft w:val="0"/>
                  <w:marRight w:val="0"/>
                  <w:marTop w:val="0"/>
                  <w:marBottom w:val="0"/>
                  <w:divBdr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divBdr>
                </w:div>
                <w:div w:id="19568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43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6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5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2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22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701">
                  <w:marLeft w:val="0"/>
                  <w:marRight w:val="0"/>
                  <w:marTop w:val="0"/>
                  <w:marBottom w:val="0"/>
                  <w:divBdr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divBdr>
                </w:div>
                <w:div w:id="9833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43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862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0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8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66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8128">
                  <w:marLeft w:val="0"/>
                  <w:marRight w:val="0"/>
                  <w:marTop w:val="0"/>
                  <w:marBottom w:val="0"/>
                  <w:divBdr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divBdr>
                </w:div>
                <w:div w:id="1471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492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913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0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384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921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6096">
              <w:marLeft w:val="408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0e80e9-6c2f-450e-8957-5c7c5458ba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12932E0BF69E4AB97ACA1598840F20" ma:contentTypeVersion="17" ma:contentTypeDescription="Creare un nuovo documento." ma:contentTypeScope="" ma:versionID="1d578da5820fa334cb9a9ce89eef6edd">
  <xsd:schema xmlns:xsd="http://www.w3.org/2001/XMLSchema" xmlns:xs="http://www.w3.org/2001/XMLSchema" xmlns:p="http://schemas.microsoft.com/office/2006/metadata/properties" xmlns:ns3="404bce98-b762-4681-8d3d-5dc89ab59fb8" xmlns:ns4="290e80e9-6c2f-450e-8957-5c7c5458ba26" targetNamespace="http://schemas.microsoft.com/office/2006/metadata/properties" ma:root="true" ma:fieldsID="5877ad3548cf12cb7b4c333551bc75df" ns3:_="" ns4:_="">
    <xsd:import namespace="404bce98-b762-4681-8d3d-5dc89ab59fb8"/>
    <xsd:import namespace="290e80e9-6c2f-450e-8957-5c7c5458ba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bce98-b762-4681-8d3d-5dc89ab59f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e80e9-6c2f-450e-8957-5c7c5458b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B7C49-44D3-468F-BE9A-9D25D0727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78EA-7FFE-40B6-8C3C-3A02C382057C}">
  <ds:schemaRefs>
    <ds:schemaRef ds:uri="http://schemas.microsoft.com/office/2006/metadata/properties"/>
    <ds:schemaRef ds:uri="http://schemas.microsoft.com/office/infopath/2007/PartnerControls"/>
    <ds:schemaRef ds:uri="290e80e9-6c2f-450e-8957-5c7c5458ba26"/>
  </ds:schemaRefs>
</ds:datastoreItem>
</file>

<file path=customXml/itemProps3.xml><?xml version="1.0" encoding="utf-8"?>
<ds:datastoreItem xmlns:ds="http://schemas.openxmlformats.org/officeDocument/2006/customXml" ds:itemID="{94063E05-7C53-4FD6-9DDD-19CF31568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bce98-b762-4681-8d3d-5dc89ab59fb8"/>
    <ds:schemaRef ds:uri="290e80e9-6c2f-450e-8957-5c7c5458b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Vittoria Baldrighi</cp:lastModifiedBy>
  <cp:revision>94</cp:revision>
  <dcterms:created xsi:type="dcterms:W3CDTF">2023-12-28T18:24:00Z</dcterms:created>
  <dcterms:modified xsi:type="dcterms:W3CDTF">2026-09-01T08:17:00Z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0x0101009812932E0BF69E4AB97ACA1598840F20</vt:lpwstr>
  </property>
</Properties>
</file>