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CE58B" w14:textId="31518D78" w:rsidR="007E0E41" w:rsidRPr="00120FC8" w:rsidRDefault="008E7F7F" w:rsidP="00DD0D7B">
      <w:pPr>
        <w:spacing w:after="0"/>
        <w:jc w:val="center"/>
        <w:rPr>
          <w:rFonts w:ascii="Montserrat Medium" w:hAnsi="Montserrat Medium" w:cs="Open Sans"/>
          <w:sz w:val="28"/>
          <w:szCs w:val="28"/>
        </w:rPr>
      </w:pPr>
      <w:r w:rsidRPr="00120FC8">
        <w:rPr>
          <w:rFonts w:ascii="Montserrat Medium" w:hAnsi="Montserrat Medium" w:cs="Open Sans"/>
          <w:sz w:val="28"/>
          <w:szCs w:val="28"/>
        </w:rPr>
        <w:t>BENJAMIN GROSVENOR</w:t>
      </w:r>
    </w:p>
    <w:p w14:paraId="19BE0252" w14:textId="2D556B3B" w:rsidR="008E7F7F" w:rsidRPr="00DD0D7B" w:rsidRDefault="008E7F7F" w:rsidP="008A5FCD">
      <w:pPr>
        <w:jc w:val="center"/>
        <w:rPr>
          <w:rFonts w:ascii="Montserrat" w:hAnsi="Montserrat" w:cs="Open Sans"/>
          <w:i/>
          <w:iCs/>
          <w:sz w:val="24"/>
          <w:szCs w:val="24"/>
        </w:rPr>
      </w:pPr>
      <w:r w:rsidRPr="00DD0D7B">
        <w:rPr>
          <w:rFonts w:ascii="Montserrat" w:hAnsi="Montserrat" w:cs="Open Sans"/>
          <w:i/>
          <w:iCs/>
          <w:sz w:val="24"/>
          <w:szCs w:val="24"/>
        </w:rPr>
        <w:t>Pianoforte</w:t>
      </w:r>
    </w:p>
    <w:p w14:paraId="2A572CDF" w14:textId="1FC616B8" w:rsidR="00545ABD" w:rsidRDefault="00545ABD" w:rsidP="00AF44D3">
      <w:pPr>
        <w:jc w:val="both"/>
        <w:rPr>
          <w:rFonts w:ascii="Open Sans" w:hAnsi="Open Sans" w:cs="Open Sans"/>
        </w:rPr>
      </w:pPr>
      <w:r w:rsidRPr="00545ABD">
        <w:rPr>
          <w:rFonts w:ascii="Open Sans" w:hAnsi="Open Sans" w:cs="Open Sans"/>
        </w:rPr>
        <w:t xml:space="preserve">Il pianista britannico Benjamin Grosvenor vanta un'acclamata carriera internazionale come solista e musicista da camera, che si riflette nella sua ampia discografia </w:t>
      </w:r>
      <w:r w:rsidR="0018050D">
        <w:rPr>
          <w:rFonts w:ascii="Open Sans" w:hAnsi="Open Sans" w:cs="Open Sans"/>
        </w:rPr>
        <w:t>con</w:t>
      </w:r>
      <w:r w:rsidRPr="00545ABD">
        <w:rPr>
          <w:rFonts w:ascii="Open Sans" w:hAnsi="Open Sans" w:cs="Open Sans"/>
        </w:rPr>
        <w:t xml:space="preserve"> </w:t>
      </w:r>
      <w:r w:rsidRPr="0018050D">
        <w:rPr>
          <w:rFonts w:ascii="Open Sans" w:hAnsi="Open Sans" w:cs="Open Sans"/>
          <w:i/>
          <w:iCs/>
        </w:rPr>
        <w:t>Decca Classics</w:t>
      </w:r>
      <w:r w:rsidRPr="00545ABD">
        <w:rPr>
          <w:rFonts w:ascii="Open Sans" w:hAnsi="Open Sans" w:cs="Open Sans"/>
        </w:rPr>
        <w:t>.</w:t>
      </w:r>
    </w:p>
    <w:p w14:paraId="49E3A7E5" w14:textId="70A9685F" w:rsidR="00B21823" w:rsidRDefault="00B21823" w:rsidP="00987B0F">
      <w:pPr>
        <w:jc w:val="both"/>
        <w:rPr>
          <w:rFonts w:ascii="Open Sans" w:hAnsi="Open Sans" w:cs="Open Sans"/>
        </w:rPr>
      </w:pPr>
      <w:r w:rsidRPr="00B21823">
        <w:rPr>
          <w:rFonts w:ascii="Open Sans" w:hAnsi="Open Sans" w:cs="Open Sans"/>
        </w:rPr>
        <w:t>Nella stagione 2025/2026 Benjamin Grosvenor si esibirà in concerti con la Philharmonia</w:t>
      </w:r>
      <w:r w:rsidR="00AB524D">
        <w:rPr>
          <w:rFonts w:ascii="Open Sans" w:hAnsi="Open Sans" w:cs="Open Sans"/>
        </w:rPr>
        <w:t xml:space="preserve"> Orchestra e </w:t>
      </w:r>
      <w:r w:rsidRPr="00B21823">
        <w:rPr>
          <w:rFonts w:ascii="Open Sans" w:hAnsi="Open Sans" w:cs="Open Sans"/>
        </w:rPr>
        <w:t xml:space="preserve">Rouvali, </w:t>
      </w:r>
      <w:r w:rsidR="00AB524D">
        <w:rPr>
          <w:rFonts w:ascii="Open Sans" w:hAnsi="Open Sans" w:cs="Open Sans"/>
        </w:rPr>
        <w:t xml:space="preserve">con </w:t>
      </w:r>
      <w:r w:rsidR="006D5CFF">
        <w:rPr>
          <w:rFonts w:ascii="Open Sans" w:hAnsi="Open Sans" w:cs="Open Sans"/>
        </w:rPr>
        <w:t>la Filarmonica della Scala</w:t>
      </w:r>
      <w:r w:rsidR="00AB524D">
        <w:rPr>
          <w:rFonts w:ascii="Open Sans" w:hAnsi="Open Sans" w:cs="Open Sans"/>
        </w:rPr>
        <w:t xml:space="preserve"> e </w:t>
      </w:r>
      <w:r w:rsidRPr="00B21823">
        <w:rPr>
          <w:rFonts w:ascii="Open Sans" w:hAnsi="Open Sans" w:cs="Open Sans"/>
        </w:rPr>
        <w:t xml:space="preserve">Honeck, </w:t>
      </w:r>
      <w:r w:rsidR="00BD09AA">
        <w:rPr>
          <w:rFonts w:ascii="Open Sans" w:hAnsi="Open Sans" w:cs="Open Sans"/>
        </w:rPr>
        <w:t xml:space="preserve">con </w:t>
      </w:r>
      <w:r w:rsidRPr="00B21823">
        <w:rPr>
          <w:rFonts w:ascii="Open Sans" w:hAnsi="Open Sans" w:cs="Open Sans"/>
        </w:rPr>
        <w:t>l</w:t>
      </w:r>
      <w:r w:rsidR="00BD09AA">
        <w:rPr>
          <w:rFonts w:ascii="Open Sans" w:hAnsi="Open Sans" w:cs="Open Sans"/>
        </w:rPr>
        <w:t>’</w:t>
      </w:r>
      <w:r w:rsidR="00BD09AA" w:rsidRPr="00BD09AA">
        <w:rPr>
          <w:rFonts w:ascii="Open Sans" w:hAnsi="Open Sans" w:cs="Open Sans"/>
        </w:rPr>
        <w:t>Orchestra Filarmonica di Bergen</w:t>
      </w:r>
      <w:r w:rsidR="009E11FE" w:rsidRPr="009E11FE">
        <w:rPr>
          <w:rFonts w:ascii="Open Sans" w:hAnsi="Open Sans" w:cs="Open Sans"/>
        </w:rPr>
        <w:t xml:space="preserve"> </w:t>
      </w:r>
      <w:r w:rsidRPr="00B21823">
        <w:rPr>
          <w:rFonts w:ascii="Open Sans" w:hAnsi="Open Sans" w:cs="Open Sans"/>
        </w:rPr>
        <w:t xml:space="preserve">e </w:t>
      </w:r>
      <w:r w:rsidR="00321846">
        <w:rPr>
          <w:rFonts w:ascii="Open Sans" w:hAnsi="Open Sans" w:cs="Open Sans"/>
        </w:rPr>
        <w:t>debutterà</w:t>
      </w:r>
      <w:r w:rsidRPr="00B21823">
        <w:rPr>
          <w:rFonts w:ascii="Open Sans" w:hAnsi="Open Sans" w:cs="Open Sans"/>
        </w:rPr>
        <w:t xml:space="preserve"> con l</w:t>
      </w:r>
      <w:r w:rsidR="004468BA">
        <w:rPr>
          <w:rFonts w:ascii="Open Sans" w:hAnsi="Open Sans" w:cs="Open Sans"/>
        </w:rPr>
        <w:t>’</w:t>
      </w:r>
      <w:r w:rsidR="004468BA" w:rsidRPr="004468BA">
        <w:rPr>
          <w:rFonts w:ascii="Open Sans" w:hAnsi="Open Sans" w:cs="Open Sans"/>
        </w:rPr>
        <w:t>Orchestra Sinfonica della Radio Svedese</w:t>
      </w:r>
      <w:r w:rsidRPr="00B21823">
        <w:rPr>
          <w:rFonts w:ascii="Open Sans" w:hAnsi="Open Sans" w:cs="Open Sans"/>
        </w:rPr>
        <w:t xml:space="preserve">. </w:t>
      </w:r>
      <w:r w:rsidR="00314A17">
        <w:rPr>
          <w:rFonts w:ascii="Open Sans" w:hAnsi="Open Sans" w:cs="Open Sans"/>
        </w:rPr>
        <w:t xml:space="preserve">Si esibirà al </w:t>
      </w:r>
      <w:r w:rsidR="00314A17" w:rsidRPr="00314A17">
        <w:rPr>
          <w:rFonts w:ascii="Open Sans" w:hAnsi="Open Sans" w:cs="Open Sans"/>
          <w:i/>
          <w:iCs/>
        </w:rPr>
        <w:t>Concertgebouw</w:t>
      </w:r>
      <w:r w:rsidR="00314A17">
        <w:rPr>
          <w:rFonts w:ascii="Open Sans" w:hAnsi="Open Sans" w:cs="Open Sans"/>
        </w:rPr>
        <w:t xml:space="preserve"> di Amsterdam con la </w:t>
      </w:r>
      <w:r w:rsidR="00314A17" w:rsidRPr="00314A17">
        <w:rPr>
          <w:rFonts w:ascii="Open Sans" w:hAnsi="Open Sans" w:cs="Open Sans"/>
          <w:i/>
          <w:iCs/>
        </w:rPr>
        <w:t>Sinfonia</w:t>
      </w:r>
      <w:r w:rsidR="00314A17">
        <w:rPr>
          <w:rFonts w:ascii="Open Sans" w:hAnsi="Open Sans" w:cs="Open Sans"/>
        </w:rPr>
        <w:t xml:space="preserve"> di Londra e sarà</w:t>
      </w:r>
      <w:r w:rsidRPr="00B21823">
        <w:rPr>
          <w:rFonts w:ascii="Open Sans" w:hAnsi="Open Sans" w:cs="Open Sans"/>
        </w:rPr>
        <w:t xml:space="preserve"> in tournée in Australia e Nuova Zelanda. Tra i concerti di questa stagione figurano </w:t>
      </w:r>
      <w:r w:rsidR="004468BA">
        <w:rPr>
          <w:rFonts w:ascii="Open Sans" w:hAnsi="Open Sans" w:cs="Open Sans"/>
        </w:rPr>
        <w:t>appuntamenti al</w:t>
      </w:r>
      <w:r w:rsidRPr="00B21823">
        <w:rPr>
          <w:rFonts w:ascii="Open Sans" w:hAnsi="Open Sans" w:cs="Open Sans"/>
        </w:rPr>
        <w:t xml:space="preserve">la </w:t>
      </w:r>
      <w:r w:rsidRPr="004468BA">
        <w:rPr>
          <w:rFonts w:ascii="Open Sans" w:hAnsi="Open Sans" w:cs="Open Sans"/>
          <w:i/>
          <w:iCs/>
        </w:rPr>
        <w:t>Carnegie Hall</w:t>
      </w:r>
      <w:r w:rsidRPr="00B21823">
        <w:rPr>
          <w:rFonts w:ascii="Open Sans" w:hAnsi="Open Sans" w:cs="Open Sans"/>
        </w:rPr>
        <w:t xml:space="preserve"> di New York, </w:t>
      </w:r>
      <w:r w:rsidR="004468BA">
        <w:rPr>
          <w:rFonts w:ascii="Open Sans" w:hAnsi="Open Sans" w:cs="Open Sans"/>
        </w:rPr>
        <w:t xml:space="preserve">a </w:t>
      </w:r>
      <w:r w:rsidRPr="00B21823">
        <w:rPr>
          <w:rFonts w:ascii="Open Sans" w:hAnsi="Open Sans" w:cs="Open Sans"/>
        </w:rPr>
        <w:t xml:space="preserve">Chicago, </w:t>
      </w:r>
      <w:r w:rsidR="004468BA">
        <w:rPr>
          <w:rFonts w:ascii="Open Sans" w:hAnsi="Open Sans" w:cs="Open Sans"/>
        </w:rPr>
        <w:t xml:space="preserve">ad </w:t>
      </w:r>
      <w:r w:rsidRPr="00B21823">
        <w:rPr>
          <w:rFonts w:ascii="Open Sans" w:hAnsi="Open Sans" w:cs="Open Sans"/>
        </w:rPr>
        <w:t xml:space="preserve">Amsterdam, </w:t>
      </w:r>
      <w:r w:rsidR="004468BA">
        <w:rPr>
          <w:rFonts w:ascii="Open Sans" w:hAnsi="Open Sans" w:cs="Open Sans"/>
        </w:rPr>
        <w:t xml:space="preserve">a </w:t>
      </w:r>
      <w:r w:rsidRPr="00B21823">
        <w:rPr>
          <w:rFonts w:ascii="Open Sans" w:hAnsi="Open Sans" w:cs="Open Sans"/>
        </w:rPr>
        <w:t xml:space="preserve">Singapore, </w:t>
      </w:r>
      <w:r w:rsidR="004468BA">
        <w:rPr>
          <w:rFonts w:ascii="Open Sans" w:hAnsi="Open Sans" w:cs="Open Sans"/>
        </w:rPr>
        <w:t xml:space="preserve">a </w:t>
      </w:r>
      <w:r w:rsidRPr="00B21823">
        <w:rPr>
          <w:rFonts w:ascii="Open Sans" w:hAnsi="Open Sans" w:cs="Open Sans"/>
        </w:rPr>
        <w:t xml:space="preserve">Melbourne e </w:t>
      </w:r>
      <w:r w:rsidR="004468BA">
        <w:rPr>
          <w:rFonts w:ascii="Open Sans" w:hAnsi="Open Sans" w:cs="Open Sans"/>
        </w:rPr>
        <w:t xml:space="preserve">a </w:t>
      </w:r>
      <w:r w:rsidRPr="00B21823">
        <w:rPr>
          <w:rFonts w:ascii="Open Sans" w:hAnsi="Open Sans" w:cs="Open Sans"/>
        </w:rPr>
        <w:t xml:space="preserve">Londra.  Debutterà alla </w:t>
      </w:r>
      <w:r w:rsidRPr="004468BA">
        <w:rPr>
          <w:rFonts w:ascii="Open Sans" w:hAnsi="Open Sans" w:cs="Open Sans"/>
          <w:i/>
          <w:iCs/>
        </w:rPr>
        <w:t>Boulez Saal</w:t>
      </w:r>
      <w:r w:rsidRPr="00B21823">
        <w:rPr>
          <w:rFonts w:ascii="Open Sans" w:hAnsi="Open Sans" w:cs="Open Sans"/>
        </w:rPr>
        <w:t xml:space="preserve"> con Kian Soltani</w:t>
      </w:r>
      <w:r w:rsidR="00586238">
        <w:rPr>
          <w:rFonts w:ascii="Open Sans" w:hAnsi="Open Sans" w:cs="Open Sans"/>
        </w:rPr>
        <w:t>,</w:t>
      </w:r>
      <w:r w:rsidRPr="00B21823">
        <w:rPr>
          <w:rFonts w:ascii="Open Sans" w:hAnsi="Open Sans" w:cs="Open Sans"/>
        </w:rPr>
        <w:t xml:space="preserve"> al </w:t>
      </w:r>
      <w:r w:rsidRPr="004468BA">
        <w:rPr>
          <w:rFonts w:ascii="Open Sans" w:hAnsi="Open Sans" w:cs="Open Sans"/>
          <w:i/>
          <w:iCs/>
        </w:rPr>
        <w:t>Muzikverein</w:t>
      </w:r>
      <w:r w:rsidRPr="00B21823">
        <w:rPr>
          <w:rFonts w:ascii="Open Sans" w:hAnsi="Open Sans" w:cs="Open Sans"/>
        </w:rPr>
        <w:t xml:space="preserve"> di Vienna e all'</w:t>
      </w:r>
      <w:r w:rsidRPr="00586238">
        <w:rPr>
          <w:rFonts w:ascii="Open Sans" w:hAnsi="Open Sans" w:cs="Open Sans"/>
          <w:i/>
          <w:iCs/>
        </w:rPr>
        <w:t xml:space="preserve">Heidelberger Frühling </w:t>
      </w:r>
      <w:r w:rsidRPr="00B21823">
        <w:rPr>
          <w:rFonts w:ascii="Open Sans" w:hAnsi="Open Sans" w:cs="Open Sans"/>
        </w:rPr>
        <w:t>in quartetto con Hyeyoon Park, Timothy Ridout e Kian Soltani.</w:t>
      </w:r>
    </w:p>
    <w:p w14:paraId="3BFD7F4B" w14:textId="59D859C9" w:rsidR="003C508B" w:rsidRPr="003C508B" w:rsidRDefault="003C508B" w:rsidP="003C508B">
      <w:pPr>
        <w:jc w:val="both"/>
        <w:rPr>
          <w:rFonts w:ascii="Open Sans" w:hAnsi="Open Sans" w:cs="Open Sans"/>
        </w:rPr>
      </w:pPr>
      <w:r w:rsidRPr="00B17322">
        <w:rPr>
          <w:rFonts w:ascii="Open Sans" w:hAnsi="Open Sans" w:cs="Open Sans"/>
        </w:rPr>
        <w:t xml:space="preserve">Tra i precedenti impegni concertistici figurano </w:t>
      </w:r>
      <w:r w:rsidR="005A6E50" w:rsidRPr="00B17322">
        <w:rPr>
          <w:rFonts w:ascii="Open Sans" w:hAnsi="Open Sans" w:cs="Open Sans"/>
        </w:rPr>
        <w:t xml:space="preserve">esibizioni con </w:t>
      </w:r>
      <w:r w:rsidRPr="00B17322">
        <w:rPr>
          <w:rFonts w:ascii="Open Sans" w:hAnsi="Open Sans" w:cs="Open Sans"/>
        </w:rPr>
        <w:t>l</w:t>
      </w:r>
      <w:r w:rsidR="003114AD" w:rsidRPr="00B17322">
        <w:rPr>
          <w:rFonts w:ascii="Open Sans" w:hAnsi="Open Sans" w:cs="Open Sans"/>
        </w:rPr>
        <w:t>’Orchestra di Cleveland</w:t>
      </w:r>
      <w:r w:rsidRPr="00B17322">
        <w:rPr>
          <w:rFonts w:ascii="Open Sans" w:hAnsi="Open Sans" w:cs="Open Sans"/>
        </w:rPr>
        <w:t xml:space="preserve">, la </w:t>
      </w:r>
      <w:r w:rsidRPr="00B17322">
        <w:rPr>
          <w:rFonts w:ascii="Open Sans" w:hAnsi="Open Sans" w:cs="Open Sans"/>
          <w:i/>
          <w:iCs/>
        </w:rPr>
        <w:t>Chicago Symphony</w:t>
      </w:r>
      <w:r w:rsidRPr="00B17322">
        <w:rPr>
          <w:rFonts w:ascii="Open Sans" w:hAnsi="Open Sans" w:cs="Open Sans"/>
        </w:rPr>
        <w:t xml:space="preserve">, </w:t>
      </w:r>
      <w:r w:rsidR="008C1EEA" w:rsidRPr="00B17322">
        <w:rPr>
          <w:rFonts w:ascii="Open Sans" w:hAnsi="Open Sans" w:cs="Open Sans"/>
        </w:rPr>
        <w:t xml:space="preserve">la </w:t>
      </w:r>
      <w:r w:rsidR="00191A75" w:rsidRPr="00B17322">
        <w:rPr>
          <w:rFonts w:ascii="Open Sans" w:hAnsi="Open Sans" w:cs="Open Sans"/>
          <w:i/>
          <w:iCs/>
        </w:rPr>
        <w:t>Boston Symphony</w:t>
      </w:r>
      <w:r w:rsidR="00191A75" w:rsidRPr="00B17322">
        <w:rPr>
          <w:rFonts w:ascii="Open Sans" w:hAnsi="Open Sans" w:cs="Open Sans"/>
        </w:rPr>
        <w:t xml:space="preserve">, </w:t>
      </w:r>
      <w:r w:rsidR="008C1EEA" w:rsidRPr="00B17322">
        <w:rPr>
          <w:rFonts w:ascii="Open Sans" w:hAnsi="Open Sans" w:cs="Open Sans"/>
        </w:rPr>
        <w:t xml:space="preserve">la </w:t>
      </w:r>
      <w:r w:rsidR="00191A75" w:rsidRPr="00B17322">
        <w:rPr>
          <w:rFonts w:ascii="Open Sans" w:hAnsi="Open Sans" w:cs="Open Sans"/>
          <w:i/>
          <w:iCs/>
        </w:rPr>
        <w:t>NHK Symphony</w:t>
      </w:r>
      <w:r w:rsidR="008C1EEA" w:rsidRPr="00B17322">
        <w:rPr>
          <w:rFonts w:ascii="Open Sans" w:hAnsi="Open Sans" w:cs="Open Sans"/>
        </w:rPr>
        <w:t>,</w:t>
      </w:r>
      <w:r w:rsidR="00191A75" w:rsidRPr="00B17322">
        <w:rPr>
          <w:rFonts w:ascii="Open Sans" w:hAnsi="Open Sans" w:cs="Open Sans"/>
        </w:rPr>
        <w:t xml:space="preserve"> </w:t>
      </w:r>
      <w:r w:rsidRPr="00B17322">
        <w:rPr>
          <w:rFonts w:ascii="Open Sans" w:hAnsi="Open Sans" w:cs="Open Sans"/>
        </w:rPr>
        <w:t xml:space="preserve">la </w:t>
      </w:r>
      <w:r w:rsidRPr="00B17322">
        <w:rPr>
          <w:rFonts w:ascii="Open Sans" w:hAnsi="Open Sans" w:cs="Open Sans"/>
          <w:i/>
          <w:iCs/>
        </w:rPr>
        <w:t>Gewandhausorchester</w:t>
      </w:r>
      <w:r w:rsidRPr="00B17322">
        <w:rPr>
          <w:rFonts w:ascii="Open Sans" w:hAnsi="Open Sans" w:cs="Open Sans"/>
        </w:rPr>
        <w:t xml:space="preserve"> </w:t>
      </w:r>
      <w:r w:rsidR="003114AD" w:rsidRPr="00B17322">
        <w:rPr>
          <w:rFonts w:ascii="Open Sans" w:hAnsi="Open Sans" w:cs="Open Sans"/>
        </w:rPr>
        <w:t>di Lipsia</w:t>
      </w:r>
      <w:r w:rsidRPr="00B17322">
        <w:rPr>
          <w:rFonts w:ascii="Open Sans" w:hAnsi="Open Sans" w:cs="Open Sans"/>
        </w:rPr>
        <w:t xml:space="preserve">, la </w:t>
      </w:r>
      <w:r w:rsidR="00F732D4" w:rsidRPr="00B17322">
        <w:rPr>
          <w:rFonts w:ascii="Open Sans" w:hAnsi="Open Sans" w:cs="Open Sans"/>
          <w:i/>
          <w:iCs/>
        </w:rPr>
        <w:t>Deutsches Symphonie Orchester Berlin</w:t>
      </w:r>
      <w:r w:rsidRPr="00B17322">
        <w:rPr>
          <w:rFonts w:ascii="Open Sans" w:hAnsi="Open Sans" w:cs="Open Sans"/>
        </w:rPr>
        <w:t>, l'</w:t>
      </w:r>
      <w:r w:rsidRPr="00B17322">
        <w:rPr>
          <w:rFonts w:ascii="Open Sans" w:hAnsi="Open Sans" w:cs="Open Sans"/>
          <w:i/>
          <w:iCs/>
        </w:rPr>
        <w:t>Orchestre National de France</w:t>
      </w:r>
      <w:r w:rsidRPr="00B17322">
        <w:rPr>
          <w:rFonts w:ascii="Open Sans" w:hAnsi="Open Sans" w:cs="Open Sans"/>
        </w:rPr>
        <w:t xml:space="preserve"> e l'Orchestra dell'Accademia Nazionale di Santa Cecilia. </w:t>
      </w:r>
      <w:r w:rsidRPr="003C508B">
        <w:rPr>
          <w:rFonts w:ascii="Open Sans" w:hAnsi="Open Sans" w:cs="Open Sans"/>
        </w:rPr>
        <w:t>Nel Regno Unito, Benjamin</w:t>
      </w:r>
      <w:r w:rsidR="000773D8">
        <w:rPr>
          <w:rFonts w:ascii="Open Sans" w:hAnsi="Open Sans" w:cs="Open Sans"/>
        </w:rPr>
        <w:t xml:space="preserve"> Grosvenor</w:t>
      </w:r>
      <w:r w:rsidRPr="003C508B">
        <w:rPr>
          <w:rFonts w:ascii="Open Sans" w:hAnsi="Open Sans" w:cs="Open Sans"/>
        </w:rPr>
        <w:t xml:space="preserve"> si è esibito con tutte le principali orchestre londinesi e </w:t>
      </w:r>
      <w:r w:rsidR="009665FC">
        <w:rPr>
          <w:rFonts w:ascii="Open Sans" w:hAnsi="Open Sans" w:cs="Open Sans"/>
        </w:rPr>
        <w:t>ripetutamente</w:t>
      </w:r>
      <w:r w:rsidRPr="003C508B">
        <w:rPr>
          <w:rFonts w:ascii="Open Sans" w:hAnsi="Open Sans" w:cs="Open Sans"/>
        </w:rPr>
        <w:t xml:space="preserve"> ai </w:t>
      </w:r>
      <w:r w:rsidRPr="000773D8">
        <w:rPr>
          <w:rFonts w:ascii="Open Sans" w:hAnsi="Open Sans" w:cs="Open Sans"/>
          <w:i/>
          <w:iCs/>
        </w:rPr>
        <w:t>BBC Proms</w:t>
      </w:r>
      <w:r w:rsidRPr="003C508B">
        <w:rPr>
          <w:rFonts w:ascii="Open Sans" w:hAnsi="Open Sans" w:cs="Open Sans"/>
        </w:rPr>
        <w:t xml:space="preserve">, comprese la Prima e l'Ultima serata. Oltre a un recital da solista alla </w:t>
      </w:r>
      <w:r w:rsidRPr="000773D8">
        <w:rPr>
          <w:rFonts w:ascii="Open Sans" w:hAnsi="Open Sans" w:cs="Open Sans"/>
          <w:i/>
          <w:iCs/>
        </w:rPr>
        <w:t>Royal Albert Hall</w:t>
      </w:r>
      <w:r w:rsidRPr="003C508B">
        <w:rPr>
          <w:rFonts w:ascii="Open Sans" w:hAnsi="Open Sans" w:cs="Open Sans"/>
        </w:rPr>
        <w:t xml:space="preserve">, i suoi concerti ai </w:t>
      </w:r>
      <w:r w:rsidRPr="000773D8">
        <w:rPr>
          <w:rFonts w:ascii="Open Sans" w:hAnsi="Open Sans" w:cs="Open Sans"/>
          <w:i/>
          <w:iCs/>
        </w:rPr>
        <w:t>Proms</w:t>
      </w:r>
      <w:r w:rsidRPr="003C508B">
        <w:rPr>
          <w:rFonts w:ascii="Open Sans" w:hAnsi="Open Sans" w:cs="Open Sans"/>
        </w:rPr>
        <w:t xml:space="preserve"> hanno incluso opere di Beethoven, Chopin, Liszt, Busoni, Shostakovich e Britten.  Le collaborazioni di </w:t>
      </w:r>
      <w:r w:rsidRPr="008409DE">
        <w:rPr>
          <w:rFonts w:ascii="Open Sans" w:hAnsi="Open Sans" w:cs="Open Sans"/>
        </w:rPr>
        <w:t>Benjamin</w:t>
      </w:r>
      <w:r w:rsidR="000773D8" w:rsidRPr="008409DE">
        <w:rPr>
          <w:rFonts w:ascii="Open Sans" w:hAnsi="Open Sans" w:cs="Open Sans"/>
        </w:rPr>
        <w:t xml:space="preserve"> Grosvenor</w:t>
      </w:r>
      <w:r w:rsidRPr="008409DE">
        <w:rPr>
          <w:rFonts w:ascii="Open Sans" w:hAnsi="Open Sans" w:cs="Open Sans"/>
        </w:rPr>
        <w:t xml:space="preserve"> con i direttori d'orchestra includono Marin Alsop, Elim Chan, Edward Gardner, </w:t>
      </w:r>
      <w:r w:rsidR="008F0F87" w:rsidRPr="008409DE">
        <w:rPr>
          <w:rFonts w:ascii="Open Sans" w:hAnsi="Open Sans" w:cs="Open Sans"/>
        </w:rPr>
        <w:t>Paavo Jarvi</w:t>
      </w:r>
      <w:r w:rsidR="008409DE" w:rsidRPr="008409DE">
        <w:rPr>
          <w:rFonts w:ascii="Open Sans" w:hAnsi="Open Sans" w:cs="Open Sans"/>
        </w:rPr>
        <w:t>,</w:t>
      </w:r>
      <w:r w:rsidR="008F0F87" w:rsidRPr="008409DE">
        <w:rPr>
          <w:rFonts w:ascii="Open Sans" w:hAnsi="Open Sans" w:cs="Open Sans"/>
        </w:rPr>
        <w:t xml:space="preserve"> </w:t>
      </w:r>
      <w:r w:rsidRPr="008409DE">
        <w:rPr>
          <w:rFonts w:ascii="Open Sans" w:hAnsi="Open Sans" w:cs="Open Sans"/>
        </w:rPr>
        <w:t>Nathalie Stutzmann, Krzysztof Urbanski e Kazuki Yamada.</w:t>
      </w:r>
    </w:p>
    <w:p w14:paraId="0F84A712" w14:textId="20C0E854" w:rsidR="005C36C3" w:rsidRDefault="005C36C3" w:rsidP="00AF44D3">
      <w:pPr>
        <w:jc w:val="both"/>
        <w:rPr>
          <w:rFonts w:ascii="Open Sans" w:hAnsi="Open Sans" w:cs="Open Sans"/>
        </w:rPr>
      </w:pPr>
      <w:r w:rsidRPr="005C36C3">
        <w:rPr>
          <w:rFonts w:ascii="Open Sans" w:hAnsi="Open Sans" w:cs="Open Sans"/>
        </w:rPr>
        <w:t>Benjamin</w:t>
      </w:r>
      <w:r w:rsidR="000773D8">
        <w:rPr>
          <w:rFonts w:ascii="Open Sans" w:hAnsi="Open Sans" w:cs="Open Sans"/>
        </w:rPr>
        <w:t xml:space="preserve"> Grosvenor</w:t>
      </w:r>
      <w:r w:rsidRPr="005C36C3">
        <w:rPr>
          <w:rFonts w:ascii="Open Sans" w:hAnsi="Open Sans" w:cs="Open Sans"/>
        </w:rPr>
        <w:t xml:space="preserve"> ha tenuto recital da solista</w:t>
      </w:r>
      <w:r w:rsidR="006230A9">
        <w:rPr>
          <w:rFonts w:ascii="Open Sans" w:hAnsi="Open Sans" w:cs="Open Sans"/>
        </w:rPr>
        <w:t xml:space="preserve"> a T</w:t>
      </w:r>
      <w:r w:rsidR="009B7DD4">
        <w:rPr>
          <w:rFonts w:ascii="Open Sans" w:hAnsi="Open Sans" w:cs="Open Sans"/>
        </w:rPr>
        <w:t>o</w:t>
      </w:r>
      <w:r w:rsidR="006230A9">
        <w:rPr>
          <w:rFonts w:ascii="Open Sans" w:hAnsi="Open Sans" w:cs="Open Sans"/>
        </w:rPr>
        <w:t>kyo</w:t>
      </w:r>
      <w:r w:rsidR="009B7DD4">
        <w:rPr>
          <w:rFonts w:ascii="Open Sans" w:hAnsi="Open Sans" w:cs="Open Sans"/>
        </w:rPr>
        <w:t>, a Berlino, a Varsavia,</w:t>
      </w:r>
      <w:r w:rsidRPr="005C36C3">
        <w:rPr>
          <w:rFonts w:ascii="Open Sans" w:hAnsi="Open Sans" w:cs="Open Sans"/>
        </w:rPr>
        <w:t xml:space="preserve"> </w:t>
      </w:r>
      <w:r w:rsidR="009B7DD4" w:rsidRPr="005C36C3">
        <w:rPr>
          <w:rFonts w:ascii="Open Sans" w:hAnsi="Open Sans" w:cs="Open Sans"/>
        </w:rPr>
        <w:t xml:space="preserve">al </w:t>
      </w:r>
      <w:r w:rsidR="009B7DD4" w:rsidRPr="007D2DD9">
        <w:rPr>
          <w:rFonts w:ascii="Open Sans" w:hAnsi="Open Sans" w:cs="Open Sans"/>
          <w:i/>
          <w:iCs/>
        </w:rPr>
        <w:t>Barbican Centre</w:t>
      </w:r>
      <w:r w:rsidR="009B7DD4" w:rsidRPr="005C36C3">
        <w:rPr>
          <w:rFonts w:ascii="Open Sans" w:hAnsi="Open Sans" w:cs="Open Sans"/>
        </w:rPr>
        <w:t xml:space="preserve">, al </w:t>
      </w:r>
      <w:r w:rsidR="009B7DD4" w:rsidRPr="007D2DD9">
        <w:rPr>
          <w:rFonts w:ascii="Open Sans" w:hAnsi="Open Sans" w:cs="Open Sans"/>
          <w:i/>
          <w:iCs/>
        </w:rPr>
        <w:t>Southbank Centre</w:t>
      </w:r>
      <w:r w:rsidR="001B6856">
        <w:rPr>
          <w:rFonts w:ascii="Open Sans" w:hAnsi="Open Sans" w:cs="Open Sans"/>
        </w:rPr>
        <w:t xml:space="preserve">, alla </w:t>
      </w:r>
      <w:r w:rsidR="001B6856" w:rsidRPr="008A5C09">
        <w:rPr>
          <w:rFonts w:ascii="Open Sans" w:hAnsi="Open Sans" w:cs="Open Sans"/>
          <w:i/>
          <w:iCs/>
        </w:rPr>
        <w:t>Wigmore Hall</w:t>
      </w:r>
      <w:r w:rsidR="001B6856">
        <w:rPr>
          <w:rFonts w:ascii="Open Sans" w:hAnsi="Open Sans" w:cs="Open Sans"/>
        </w:rPr>
        <w:t xml:space="preserve"> </w:t>
      </w:r>
      <w:r w:rsidRPr="005C36C3">
        <w:rPr>
          <w:rFonts w:ascii="Open Sans" w:hAnsi="Open Sans" w:cs="Open Sans"/>
        </w:rPr>
        <w:t>e a</w:t>
      </w:r>
      <w:r w:rsidR="007D2DD9">
        <w:rPr>
          <w:rFonts w:ascii="Open Sans" w:hAnsi="Open Sans" w:cs="Open Sans"/>
        </w:rPr>
        <w:t>l Festival Pianistico della</w:t>
      </w:r>
      <w:r w:rsidRPr="005C36C3">
        <w:rPr>
          <w:rFonts w:ascii="Open Sans" w:hAnsi="Open Sans" w:cs="Open Sans"/>
        </w:rPr>
        <w:t xml:space="preserve"> Ruhr e </w:t>
      </w:r>
      <w:r w:rsidRPr="007D2DD9">
        <w:rPr>
          <w:rFonts w:ascii="Open Sans" w:hAnsi="Open Sans" w:cs="Open Sans"/>
          <w:i/>
          <w:iCs/>
        </w:rPr>
        <w:t>La Roque d'Anthéron</w:t>
      </w:r>
      <w:r w:rsidR="008A5C09">
        <w:rPr>
          <w:rFonts w:ascii="Open Sans" w:hAnsi="Open Sans" w:cs="Open Sans"/>
        </w:rPr>
        <w:t xml:space="preserve">. </w:t>
      </w:r>
      <w:r w:rsidR="00A04EB6" w:rsidRPr="00A04EB6">
        <w:rPr>
          <w:rFonts w:ascii="Open Sans" w:hAnsi="Open Sans" w:cs="Open Sans"/>
        </w:rPr>
        <w:t xml:space="preserve">La scorsa stagione è stato protagonista al </w:t>
      </w:r>
      <w:r w:rsidR="00A04EB6" w:rsidRPr="00A04EB6">
        <w:rPr>
          <w:rFonts w:ascii="Open Sans" w:hAnsi="Open Sans" w:cs="Open Sans"/>
          <w:i/>
          <w:iCs/>
        </w:rPr>
        <w:t>Théâtre des Champs-Elysées</w:t>
      </w:r>
      <w:r w:rsidR="00A04EB6" w:rsidRPr="00A04EB6">
        <w:rPr>
          <w:rFonts w:ascii="Open Sans" w:hAnsi="Open Sans" w:cs="Open Sans"/>
        </w:rPr>
        <w:t xml:space="preserve"> di Parigi e nel 2024 ha presentato in prima </w:t>
      </w:r>
      <w:r w:rsidR="001F2DBC">
        <w:rPr>
          <w:rFonts w:ascii="Open Sans" w:hAnsi="Open Sans" w:cs="Open Sans"/>
        </w:rPr>
        <w:t xml:space="preserve">esecuzione </w:t>
      </w:r>
      <w:r w:rsidR="00A04EB6" w:rsidRPr="00A04EB6">
        <w:rPr>
          <w:rFonts w:ascii="Open Sans" w:hAnsi="Open Sans" w:cs="Open Sans"/>
        </w:rPr>
        <w:t xml:space="preserve">assoluta </w:t>
      </w:r>
      <w:r w:rsidR="00A04EB6">
        <w:rPr>
          <w:rFonts w:ascii="Open Sans" w:hAnsi="Open Sans" w:cs="Open Sans"/>
        </w:rPr>
        <w:t>“</w:t>
      </w:r>
      <w:r w:rsidR="00A04EB6" w:rsidRPr="00A04EB6">
        <w:rPr>
          <w:rFonts w:ascii="Open Sans" w:hAnsi="Open Sans" w:cs="Open Sans"/>
        </w:rPr>
        <w:t>Hommage à Liszt</w:t>
      </w:r>
      <w:r w:rsidR="00A04EB6">
        <w:rPr>
          <w:rFonts w:ascii="Open Sans" w:hAnsi="Open Sans" w:cs="Open Sans"/>
        </w:rPr>
        <w:t>”</w:t>
      </w:r>
      <w:r w:rsidR="00A04EB6" w:rsidRPr="00A04EB6">
        <w:rPr>
          <w:rFonts w:ascii="Open Sans" w:hAnsi="Open Sans" w:cs="Open Sans"/>
        </w:rPr>
        <w:t xml:space="preserve"> di Brett Dean.</w:t>
      </w:r>
    </w:p>
    <w:p w14:paraId="0166F25F" w14:textId="6404AB9B" w:rsidR="00AF44D3" w:rsidRDefault="005C36C3" w:rsidP="00AF44D3">
      <w:pPr>
        <w:jc w:val="both"/>
        <w:rPr>
          <w:rFonts w:ascii="Open Sans" w:hAnsi="Open Sans" w:cs="Open Sans"/>
        </w:rPr>
      </w:pPr>
      <w:r w:rsidRPr="005C36C3">
        <w:rPr>
          <w:rFonts w:ascii="Open Sans" w:hAnsi="Open Sans" w:cs="Open Sans"/>
        </w:rPr>
        <w:t>Nel 2011 Benjamin</w:t>
      </w:r>
      <w:r w:rsidR="00196A8F">
        <w:rPr>
          <w:rFonts w:ascii="Open Sans" w:hAnsi="Open Sans" w:cs="Open Sans"/>
        </w:rPr>
        <w:t xml:space="preserve"> Grosvenor</w:t>
      </w:r>
      <w:r w:rsidRPr="005C36C3">
        <w:rPr>
          <w:rFonts w:ascii="Open Sans" w:hAnsi="Open Sans" w:cs="Open Sans"/>
        </w:rPr>
        <w:t xml:space="preserve"> ha firmato per</w:t>
      </w:r>
      <w:r w:rsidR="00196A8F">
        <w:rPr>
          <w:rFonts w:ascii="Open Sans" w:hAnsi="Open Sans" w:cs="Open Sans"/>
        </w:rPr>
        <w:t xml:space="preserve"> un contratto d’esclusiva con</w:t>
      </w:r>
      <w:r w:rsidRPr="005C36C3">
        <w:rPr>
          <w:rFonts w:ascii="Open Sans" w:hAnsi="Open Sans" w:cs="Open Sans"/>
        </w:rPr>
        <w:t xml:space="preserve"> </w:t>
      </w:r>
      <w:r w:rsidRPr="00196A8F">
        <w:rPr>
          <w:rFonts w:ascii="Open Sans" w:hAnsi="Open Sans" w:cs="Open Sans"/>
          <w:i/>
          <w:iCs/>
        </w:rPr>
        <w:t>Decca Classics</w:t>
      </w:r>
      <w:r w:rsidRPr="005C36C3">
        <w:rPr>
          <w:rFonts w:ascii="Open Sans" w:hAnsi="Open Sans" w:cs="Open Sans"/>
        </w:rPr>
        <w:t xml:space="preserve">, </w:t>
      </w:r>
      <w:r w:rsidR="00196A8F">
        <w:rPr>
          <w:rFonts w:ascii="Open Sans" w:hAnsi="Open Sans" w:cs="Open Sans"/>
        </w:rPr>
        <w:t xml:space="preserve">diventando </w:t>
      </w:r>
      <w:r w:rsidRPr="005C36C3">
        <w:rPr>
          <w:rFonts w:ascii="Open Sans" w:hAnsi="Open Sans" w:cs="Open Sans"/>
        </w:rPr>
        <w:t>il più giovane musicista britannico di sempre</w:t>
      </w:r>
      <w:r w:rsidR="00196A8F">
        <w:rPr>
          <w:rFonts w:ascii="Open Sans" w:hAnsi="Open Sans" w:cs="Open Sans"/>
        </w:rPr>
        <w:t xml:space="preserve"> a firmare con l’etichetta</w:t>
      </w:r>
      <w:r w:rsidRPr="005C36C3">
        <w:rPr>
          <w:rFonts w:ascii="Open Sans" w:hAnsi="Open Sans" w:cs="Open Sans"/>
        </w:rPr>
        <w:t xml:space="preserve">, nonché il primo pianista britannico in quasi 60 anni. La sua impressionante discografia comprende opere solistiche, da camera e concerti, e ha ottenuto numerosi riconoscimenti: </w:t>
      </w:r>
      <w:r w:rsidRPr="00196A8F">
        <w:rPr>
          <w:rFonts w:ascii="Open Sans" w:hAnsi="Open Sans" w:cs="Open Sans"/>
          <w:i/>
          <w:iCs/>
        </w:rPr>
        <w:t>Chocs de l'année</w:t>
      </w:r>
      <w:r w:rsidRPr="005C36C3">
        <w:rPr>
          <w:rFonts w:ascii="Open Sans" w:hAnsi="Open Sans" w:cs="Open Sans"/>
        </w:rPr>
        <w:t xml:space="preserve">, </w:t>
      </w:r>
      <w:r w:rsidRPr="00196A8F">
        <w:rPr>
          <w:rFonts w:ascii="Open Sans" w:hAnsi="Open Sans" w:cs="Open Sans"/>
          <w:i/>
          <w:iCs/>
        </w:rPr>
        <w:t>Prix de Caecilia</w:t>
      </w:r>
      <w:r w:rsidRPr="005C36C3">
        <w:rPr>
          <w:rFonts w:ascii="Open Sans" w:hAnsi="Open Sans" w:cs="Open Sans"/>
        </w:rPr>
        <w:t xml:space="preserve">, </w:t>
      </w:r>
      <w:r w:rsidRPr="00196A8F">
        <w:rPr>
          <w:rFonts w:ascii="Open Sans" w:hAnsi="Open Sans" w:cs="Open Sans"/>
          <w:i/>
          <w:iCs/>
        </w:rPr>
        <w:t>Diapason d'</w:t>
      </w:r>
      <w:r w:rsidR="00196A8F" w:rsidRPr="00196A8F">
        <w:rPr>
          <w:rFonts w:ascii="Open Sans" w:hAnsi="Open Sans" w:cs="Open Sans"/>
          <w:i/>
          <w:iCs/>
        </w:rPr>
        <w:t>O</w:t>
      </w:r>
      <w:r w:rsidRPr="00196A8F">
        <w:rPr>
          <w:rFonts w:ascii="Open Sans" w:hAnsi="Open Sans" w:cs="Open Sans"/>
          <w:i/>
          <w:iCs/>
        </w:rPr>
        <w:t>r de l'</w:t>
      </w:r>
      <w:r w:rsidR="00196A8F" w:rsidRPr="00196A8F">
        <w:rPr>
          <w:rFonts w:ascii="Open Sans" w:hAnsi="Open Sans" w:cs="Open Sans"/>
          <w:i/>
          <w:iCs/>
        </w:rPr>
        <w:t>A</w:t>
      </w:r>
      <w:r w:rsidRPr="00196A8F">
        <w:rPr>
          <w:rFonts w:ascii="Open Sans" w:hAnsi="Open Sans" w:cs="Open Sans"/>
          <w:i/>
          <w:iCs/>
        </w:rPr>
        <w:t>nnée</w:t>
      </w:r>
      <w:r w:rsidRPr="005C36C3">
        <w:rPr>
          <w:rFonts w:ascii="Open Sans" w:hAnsi="Open Sans" w:cs="Open Sans"/>
        </w:rPr>
        <w:t xml:space="preserve"> e </w:t>
      </w:r>
      <w:r w:rsidRPr="00196A8F">
        <w:rPr>
          <w:rFonts w:ascii="Open Sans" w:hAnsi="Open Sans" w:cs="Open Sans"/>
          <w:i/>
          <w:iCs/>
        </w:rPr>
        <w:t xml:space="preserve">Gramophone </w:t>
      </w:r>
      <w:r w:rsidR="00196A8F">
        <w:rPr>
          <w:rFonts w:ascii="Open Sans" w:hAnsi="Open Sans" w:cs="Open Sans"/>
          <w:i/>
          <w:iCs/>
        </w:rPr>
        <w:t>A</w:t>
      </w:r>
      <w:r w:rsidRPr="00196A8F">
        <w:rPr>
          <w:rFonts w:ascii="Open Sans" w:hAnsi="Open Sans" w:cs="Open Sans"/>
          <w:i/>
          <w:iCs/>
        </w:rPr>
        <w:t>wards</w:t>
      </w:r>
      <w:r w:rsidRPr="005C36C3">
        <w:rPr>
          <w:rFonts w:ascii="Open Sans" w:hAnsi="Open Sans" w:cs="Open Sans"/>
        </w:rPr>
        <w:t xml:space="preserve">.  </w:t>
      </w:r>
      <w:r w:rsidR="00E63C19" w:rsidRPr="00E63C19">
        <w:rPr>
          <w:rFonts w:ascii="Open Sans" w:hAnsi="Open Sans" w:cs="Open Sans"/>
        </w:rPr>
        <w:t xml:space="preserve">La sua pubblicazione più recente </w:t>
      </w:r>
      <w:r w:rsidR="00E63C19">
        <w:rPr>
          <w:rFonts w:ascii="Open Sans" w:hAnsi="Open Sans" w:cs="Open Sans"/>
        </w:rPr>
        <w:t>è incentrata</w:t>
      </w:r>
      <w:r w:rsidR="0033417A">
        <w:rPr>
          <w:rFonts w:ascii="Open Sans" w:hAnsi="Open Sans" w:cs="Open Sans"/>
        </w:rPr>
        <w:t xml:space="preserve"> sul</w:t>
      </w:r>
      <w:r w:rsidR="00E63C19" w:rsidRPr="00E63C19">
        <w:rPr>
          <w:rFonts w:ascii="Open Sans" w:hAnsi="Open Sans" w:cs="Open Sans"/>
        </w:rPr>
        <w:t xml:space="preserve"> repertorio solistico di Chopin.</w:t>
      </w:r>
    </w:p>
    <w:p w14:paraId="7C7C12F5" w14:textId="00D299C6" w:rsidR="0033417A" w:rsidRPr="00981ED7" w:rsidRDefault="0033417A" w:rsidP="00987B0F">
      <w:pPr>
        <w:jc w:val="both"/>
        <w:rPr>
          <w:rFonts w:ascii="Open Sans" w:hAnsi="Open Sans" w:cs="Open Sans"/>
        </w:rPr>
      </w:pPr>
      <w:r w:rsidRPr="00981ED7">
        <w:rPr>
          <w:rFonts w:ascii="Open Sans" w:hAnsi="Open Sans" w:cs="Open Sans"/>
        </w:rPr>
        <w:t xml:space="preserve">Benjamin Grosvenor è ambasciatore di </w:t>
      </w:r>
      <w:r w:rsidRPr="00981ED7">
        <w:rPr>
          <w:rFonts w:ascii="Open Sans" w:hAnsi="Open Sans" w:cs="Open Sans"/>
          <w:i/>
          <w:iCs/>
        </w:rPr>
        <w:t>Music Masters</w:t>
      </w:r>
      <w:r w:rsidRPr="00981ED7">
        <w:rPr>
          <w:rFonts w:ascii="Open Sans" w:hAnsi="Open Sans" w:cs="Open Sans"/>
        </w:rPr>
        <w:t>, un'associazione di beneficenza che si occupa di rendere l'educazione musicale accessibile a tutti i bambini, indipendentemente dal loro background, sostenendo la diversità e l'inclusione.</w:t>
      </w:r>
    </w:p>
    <w:p w14:paraId="72C5D6D3" w14:textId="6B39C3AE" w:rsidR="00981ED7" w:rsidRPr="00A93C91" w:rsidRDefault="00A93C91" w:rsidP="00981ED7">
      <w:pPr>
        <w:jc w:val="both"/>
        <w:rPr>
          <w:rFonts w:ascii="Open Sans" w:hAnsi="Open Sans" w:cs="Open Sans"/>
          <w:i/>
          <w:iCs/>
          <w:lang w:val="en-US"/>
        </w:rPr>
      </w:pPr>
      <w:r w:rsidRPr="00A93C91">
        <w:rPr>
          <w:rFonts w:ascii="Open Sans" w:hAnsi="Open Sans" w:cs="Open Sans"/>
          <w:i/>
          <w:iCs/>
          <w:lang w:val="en-US"/>
        </w:rPr>
        <w:t>2025-26</w:t>
      </w:r>
    </w:p>
    <w:p w14:paraId="43DB2DC9" w14:textId="77777777" w:rsidR="00CB7804" w:rsidRPr="00981ED7" w:rsidRDefault="00CB7804">
      <w:pPr>
        <w:jc w:val="both"/>
        <w:rPr>
          <w:rFonts w:ascii="Open Sans" w:hAnsi="Open Sans" w:cs="Open Sans"/>
          <w:lang w:val="en-US"/>
        </w:rPr>
      </w:pPr>
    </w:p>
    <w:sectPr w:rsidR="00CB7804" w:rsidRPr="00981ED7" w:rsidSect="00F53614"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6CD2F" w14:textId="77777777" w:rsidR="003D51CD" w:rsidRDefault="003D51CD" w:rsidP="00733C0C">
      <w:pPr>
        <w:spacing w:after="0" w:line="240" w:lineRule="auto"/>
      </w:pPr>
      <w:r>
        <w:separator/>
      </w:r>
    </w:p>
  </w:endnote>
  <w:endnote w:type="continuationSeparator" w:id="0">
    <w:p w14:paraId="3CBC2801" w14:textId="77777777" w:rsidR="003D51CD" w:rsidRDefault="003D51CD" w:rsidP="00733C0C">
      <w:pPr>
        <w:spacing w:after="0" w:line="240" w:lineRule="auto"/>
      </w:pPr>
      <w:r>
        <w:continuationSeparator/>
      </w:r>
    </w:p>
  </w:endnote>
  <w:endnote w:type="continuationNotice" w:id="1">
    <w:p w14:paraId="4B4544C4" w14:textId="77777777" w:rsidR="003D51CD" w:rsidRDefault="003D51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altName w:val="Open Sans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Thin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0C8FC" w14:textId="77777777" w:rsidR="003D51CD" w:rsidRDefault="003D51CD" w:rsidP="00733C0C">
      <w:pPr>
        <w:spacing w:after="0" w:line="240" w:lineRule="auto"/>
      </w:pPr>
      <w:r>
        <w:separator/>
      </w:r>
    </w:p>
  </w:footnote>
  <w:footnote w:type="continuationSeparator" w:id="0">
    <w:p w14:paraId="1FD23958" w14:textId="77777777" w:rsidR="003D51CD" w:rsidRDefault="003D51CD" w:rsidP="00733C0C">
      <w:pPr>
        <w:spacing w:after="0" w:line="240" w:lineRule="auto"/>
      </w:pPr>
      <w:r>
        <w:continuationSeparator/>
      </w:r>
    </w:p>
  </w:footnote>
  <w:footnote w:type="continuationNotice" w:id="1">
    <w:p w14:paraId="056BDBC9" w14:textId="77777777" w:rsidR="003D51CD" w:rsidRDefault="003D51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BBF0" w14:textId="77777777" w:rsidR="00F53614" w:rsidRDefault="00F53614" w:rsidP="00F53614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6"/>
        <w:szCs w:val="36"/>
      </w:rPr>
    </w:pPr>
    <w:r>
      <w:rPr>
        <w:rStyle w:val="normaltextrun"/>
        <w:rFonts w:ascii="Montserrat" w:hAnsi="Montserrat"/>
        <w:b/>
        <w:bCs/>
        <w:color w:val="2F5496" w:themeColor="accent1" w:themeShade="BF"/>
        <w:sz w:val="36"/>
        <w:szCs w:val="36"/>
      </w:rPr>
      <w:t>LORENZO</w:t>
    </w:r>
    <w:r w:rsidRPr="00A9281D">
      <w:rPr>
        <w:rStyle w:val="normaltextrun"/>
        <w:rFonts w:ascii="Montserrat" w:hAnsi="Montserrat"/>
        <w:b/>
        <w:bCs/>
        <w:color w:val="2F5496"/>
        <w:sz w:val="36"/>
        <w:szCs w:val="36"/>
      </w:rPr>
      <w:t xml:space="preserve"> BALDRIGHI</w:t>
    </w:r>
  </w:p>
  <w:p w14:paraId="124BB4F1" w14:textId="77777777" w:rsidR="00F53614" w:rsidRDefault="00F53614" w:rsidP="00F53614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7D69315A" w14:textId="77777777" w:rsidR="00F53614" w:rsidRDefault="00F53614" w:rsidP="00F53614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97458D" w14:textId="77777777" w:rsidR="00F53614" w:rsidRDefault="00F53614" w:rsidP="00F53614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115415CE" w14:textId="77777777" w:rsidR="00F53614" w:rsidRPr="00B94566" w:rsidRDefault="006D5CFF" w:rsidP="00F53614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 w:rsidR="00F53614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 w:rsidR="00F53614"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  <w:p w14:paraId="0A1F6B2C" w14:textId="77777777" w:rsidR="006F204C" w:rsidRDefault="006F204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0C"/>
    <w:rsid w:val="00027B43"/>
    <w:rsid w:val="00031DE9"/>
    <w:rsid w:val="0003220B"/>
    <w:rsid w:val="000457D0"/>
    <w:rsid w:val="00046970"/>
    <w:rsid w:val="00064DA7"/>
    <w:rsid w:val="0007663F"/>
    <w:rsid w:val="000773D8"/>
    <w:rsid w:val="000B0D92"/>
    <w:rsid w:val="000B1284"/>
    <w:rsid w:val="000B7655"/>
    <w:rsid w:val="000C1ADD"/>
    <w:rsid w:val="000C7FD9"/>
    <w:rsid w:val="000D40C4"/>
    <w:rsid w:val="000D5A77"/>
    <w:rsid w:val="000E37DF"/>
    <w:rsid w:val="000F00EC"/>
    <w:rsid w:val="000F752F"/>
    <w:rsid w:val="0011490A"/>
    <w:rsid w:val="00120FC8"/>
    <w:rsid w:val="001309A1"/>
    <w:rsid w:val="00131B88"/>
    <w:rsid w:val="00135266"/>
    <w:rsid w:val="001365FC"/>
    <w:rsid w:val="0014707F"/>
    <w:rsid w:val="00155577"/>
    <w:rsid w:val="00160913"/>
    <w:rsid w:val="00177E6C"/>
    <w:rsid w:val="0018050D"/>
    <w:rsid w:val="00191A75"/>
    <w:rsid w:val="00196A8F"/>
    <w:rsid w:val="001A4F1C"/>
    <w:rsid w:val="001B6856"/>
    <w:rsid w:val="001C6F10"/>
    <w:rsid w:val="001D5889"/>
    <w:rsid w:val="001D654E"/>
    <w:rsid w:val="001D7F5E"/>
    <w:rsid w:val="001E1B2D"/>
    <w:rsid w:val="001F2DBC"/>
    <w:rsid w:val="001F5003"/>
    <w:rsid w:val="00251032"/>
    <w:rsid w:val="0025182E"/>
    <w:rsid w:val="00257F4E"/>
    <w:rsid w:val="002637F6"/>
    <w:rsid w:val="0029731A"/>
    <w:rsid w:val="002C14F7"/>
    <w:rsid w:val="002F78BD"/>
    <w:rsid w:val="00301D06"/>
    <w:rsid w:val="003114AD"/>
    <w:rsid w:val="00314A17"/>
    <w:rsid w:val="00321846"/>
    <w:rsid w:val="0033417A"/>
    <w:rsid w:val="00334E48"/>
    <w:rsid w:val="0036247A"/>
    <w:rsid w:val="00366E93"/>
    <w:rsid w:val="00371C98"/>
    <w:rsid w:val="0038372D"/>
    <w:rsid w:val="00387CBA"/>
    <w:rsid w:val="003C508B"/>
    <w:rsid w:val="003C7590"/>
    <w:rsid w:val="003D2DDD"/>
    <w:rsid w:val="003D51CD"/>
    <w:rsid w:val="003E3CB4"/>
    <w:rsid w:val="003F0FB3"/>
    <w:rsid w:val="00400B6B"/>
    <w:rsid w:val="00445F9C"/>
    <w:rsid w:val="004468BA"/>
    <w:rsid w:val="00462924"/>
    <w:rsid w:val="00466E0A"/>
    <w:rsid w:val="00485EDD"/>
    <w:rsid w:val="004A0DAE"/>
    <w:rsid w:val="004A246C"/>
    <w:rsid w:val="004A62FD"/>
    <w:rsid w:val="004C0863"/>
    <w:rsid w:val="004C59A7"/>
    <w:rsid w:val="004D1940"/>
    <w:rsid w:val="0050422E"/>
    <w:rsid w:val="00512A60"/>
    <w:rsid w:val="0051408D"/>
    <w:rsid w:val="005145EE"/>
    <w:rsid w:val="00522047"/>
    <w:rsid w:val="00545ABD"/>
    <w:rsid w:val="00545E77"/>
    <w:rsid w:val="0055375D"/>
    <w:rsid w:val="00586238"/>
    <w:rsid w:val="00587A5F"/>
    <w:rsid w:val="00596F08"/>
    <w:rsid w:val="005A6E50"/>
    <w:rsid w:val="005C36C3"/>
    <w:rsid w:val="005C4AF8"/>
    <w:rsid w:val="005E47B5"/>
    <w:rsid w:val="006230A9"/>
    <w:rsid w:val="00625EA3"/>
    <w:rsid w:val="0063620E"/>
    <w:rsid w:val="00636996"/>
    <w:rsid w:val="006623B6"/>
    <w:rsid w:val="00686463"/>
    <w:rsid w:val="00687DA1"/>
    <w:rsid w:val="006A66F2"/>
    <w:rsid w:val="006C7B9F"/>
    <w:rsid w:val="006D5CFF"/>
    <w:rsid w:val="006F154F"/>
    <w:rsid w:val="006F204C"/>
    <w:rsid w:val="006F3917"/>
    <w:rsid w:val="006F7B0D"/>
    <w:rsid w:val="007027BE"/>
    <w:rsid w:val="007036AB"/>
    <w:rsid w:val="007142E9"/>
    <w:rsid w:val="00733C0C"/>
    <w:rsid w:val="00744976"/>
    <w:rsid w:val="007519CB"/>
    <w:rsid w:val="00763BF1"/>
    <w:rsid w:val="007661A4"/>
    <w:rsid w:val="00785231"/>
    <w:rsid w:val="007D2DD9"/>
    <w:rsid w:val="007E0E41"/>
    <w:rsid w:val="007F02D8"/>
    <w:rsid w:val="007F2A65"/>
    <w:rsid w:val="00810E17"/>
    <w:rsid w:val="00814B11"/>
    <w:rsid w:val="0081620C"/>
    <w:rsid w:val="008166B4"/>
    <w:rsid w:val="00824E73"/>
    <w:rsid w:val="00826F34"/>
    <w:rsid w:val="00833540"/>
    <w:rsid w:val="008409DE"/>
    <w:rsid w:val="00850385"/>
    <w:rsid w:val="00851FDB"/>
    <w:rsid w:val="00867CE7"/>
    <w:rsid w:val="00882802"/>
    <w:rsid w:val="0089233C"/>
    <w:rsid w:val="008A5C09"/>
    <w:rsid w:val="008A5FCD"/>
    <w:rsid w:val="008C1EEA"/>
    <w:rsid w:val="008C481E"/>
    <w:rsid w:val="008E0186"/>
    <w:rsid w:val="008E7F7F"/>
    <w:rsid w:val="008F0F87"/>
    <w:rsid w:val="00902D04"/>
    <w:rsid w:val="00925E1F"/>
    <w:rsid w:val="009363E9"/>
    <w:rsid w:val="009665FC"/>
    <w:rsid w:val="00974CDE"/>
    <w:rsid w:val="00981ED7"/>
    <w:rsid w:val="00987B0F"/>
    <w:rsid w:val="00996116"/>
    <w:rsid w:val="009A412B"/>
    <w:rsid w:val="009B7DD4"/>
    <w:rsid w:val="009E10E3"/>
    <w:rsid w:val="009E11FE"/>
    <w:rsid w:val="00A04EB6"/>
    <w:rsid w:val="00A103FC"/>
    <w:rsid w:val="00A10DEC"/>
    <w:rsid w:val="00A27F3E"/>
    <w:rsid w:val="00A31AE3"/>
    <w:rsid w:val="00A356DE"/>
    <w:rsid w:val="00A4684F"/>
    <w:rsid w:val="00A52D28"/>
    <w:rsid w:val="00A55123"/>
    <w:rsid w:val="00A559AD"/>
    <w:rsid w:val="00A604E9"/>
    <w:rsid w:val="00A761F3"/>
    <w:rsid w:val="00A77DE9"/>
    <w:rsid w:val="00A84149"/>
    <w:rsid w:val="00A845BA"/>
    <w:rsid w:val="00A93C91"/>
    <w:rsid w:val="00AA2004"/>
    <w:rsid w:val="00AA2C3D"/>
    <w:rsid w:val="00AA6E20"/>
    <w:rsid w:val="00AB524D"/>
    <w:rsid w:val="00AB5F3A"/>
    <w:rsid w:val="00AE6D3D"/>
    <w:rsid w:val="00AF44D3"/>
    <w:rsid w:val="00B0566C"/>
    <w:rsid w:val="00B05FAD"/>
    <w:rsid w:val="00B17322"/>
    <w:rsid w:val="00B21823"/>
    <w:rsid w:val="00B7473E"/>
    <w:rsid w:val="00B77E49"/>
    <w:rsid w:val="00B86101"/>
    <w:rsid w:val="00BB7DC9"/>
    <w:rsid w:val="00BC057C"/>
    <w:rsid w:val="00BC150C"/>
    <w:rsid w:val="00BC33E9"/>
    <w:rsid w:val="00BC4C14"/>
    <w:rsid w:val="00BD09AA"/>
    <w:rsid w:val="00BD2DA4"/>
    <w:rsid w:val="00BD62EC"/>
    <w:rsid w:val="00BF6EE7"/>
    <w:rsid w:val="00C05758"/>
    <w:rsid w:val="00C07056"/>
    <w:rsid w:val="00C14A7E"/>
    <w:rsid w:val="00C1631C"/>
    <w:rsid w:val="00C17BEE"/>
    <w:rsid w:val="00C46BA9"/>
    <w:rsid w:val="00C50649"/>
    <w:rsid w:val="00C53887"/>
    <w:rsid w:val="00C82E0F"/>
    <w:rsid w:val="00CB7804"/>
    <w:rsid w:val="00CC6377"/>
    <w:rsid w:val="00CE0804"/>
    <w:rsid w:val="00D06A16"/>
    <w:rsid w:val="00D17DE3"/>
    <w:rsid w:val="00D20E8D"/>
    <w:rsid w:val="00D32EC5"/>
    <w:rsid w:val="00D60905"/>
    <w:rsid w:val="00D616ED"/>
    <w:rsid w:val="00D67E59"/>
    <w:rsid w:val="00D955A7"/>
    <w:rsid w:val="00DA0C1E"/>
    <w:rsid w:val="00DA6E78"/>
    <w:rsid w:val="00DD0D7B"/>
    <w:rsid w:val="00DF5E9F"/>
    <w:rsid w:val="00DF67AA"/>
    <w:rsid w:val="00E13DB5"/>
    <w:rsid w:val="00E152AA"/>
    <w:rsid w:val="00E353BD"/>
    <w:rsid w:val="00E45CF5"/>
    <w:rsid w:val="00E54FA1"/>
    <w:rsid w:val="00E63C19"/>
    <w:rsid w:val="00E825DA"/>
    <w:rsid w:val="00E8509D"/>
    <w:rsid w:val="00EF017E"/>
    <w:rsid w:val="00EF6852"/>
    <w:rsid w:val="00F15CFE"/>
    <w:rsid w:val="00F22A0F"/>
    <w:rsid w:val="00F322F8"/>
    <w:rsid w:val="00F53614"/>
    <w:rsid w:val="00F732D4"/>
    <w:rsid w:val="00F82B62"/>
    <w:rsid w:val="00F905D4"/>
    <w:rsid w:val="00F91436"/>
    <w:rsid w:val="00F94F94"/>
    <w:rsid w:val="00FB742A"/>
    <w:rsid w:val="00FC3E2C"/>
    <w:rsid w:val="00FE0C43"/>
    <w:rsid w:val="00FF2138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D6894"/>
  <w15:chartTrackingRefBased/>
  <w15:docId w15:val="{6A71B973-AD94-478E-A4C0-DC78A68B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27F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733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733C0C"/>
  </w:style>
  <w:style w:type="character" w:customStyle="1" w:styleId="eop">
    <w:name w:val="eop"/>
    <w:basedOn w:val="Carpredefinitoparagrafo"/>
    <w:rsid w:val="00733C0C"/>
  </w:style>
  <w:style w:type="paragraph" w:styleId="Intestazione">
    <w:name w:val="header"/>
    <w:basedOn w:val="Normale"/>
    <w:link w:val="IntestazioneCarattere"/>
    <w:uiPriority w:val="99"/>
    <w:unhideWhenUsed/>
    <w:rsid w:val="00733C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C0C"/>
  </w:style>
  <w:style w:type="paragraph" w:styleId="Pidipagina">
    <w:name w:val="footer"/>
    <w:basedOn w:val="Normale"/>
    <w:link w:val="PidipaginaCarattere"/>
    <w:uiPriority w:val="99"/>
    <w:unhideWhenUsed/>
    <w:rsid w:val="00733C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C0C"/>
  </w:style>
  <w:style w:type="character" w:styleId="Collegamentoipertestuale">
    <w:name w:val="Hyperlink"/>
    <w:basedOn w:val="Carpredefinitoparagrafo"/>
    <w:uiPriority w:val="99"/>
    <w:unhideWhenUsed/>
    <w:rsid w:val="00733C0C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A27F3E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A27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12932E0BF69E4AB97ACA1598840F20" ma:contentTypeVersion="17" ma:contentTypeDescription="Creare un nuovo documento." ma:contentTypeScope="" ma:versionID="1d578da5820fa334cb9a9ce89eef6edd">
  <xsd:schema xmlns:xsd="http://www.w3.org/2001/XMLSchema" xmlns:xs="http://www.w3.org/2001/XMLSchema" xmlns:p="http://schemas.microsoft.com/office/2006/metadata/properties" xmlns:ns3="404bce98-b762-4681-8d3d-5dc89ab59fb8" xmlns:ns4="290e80e9-6c2f-450e-8957-5c7c5458ba26" targetNamespace="http://schemas.microsoft.com/office/2006/metadata/properties" ma:root="true" ma:fieldsID="5877ad3548cf12cb7b4c333551bc75df" ns3:_="" ns4:_="">
    <xsd:import namespace="404bce98-b762-4681-8d3d-5dc89ab59fb8"/>
    <xsd:import namespace="290e80e9-6c2f-450e-8957-5c7c5458b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ce98-b762-4681-8d3d-5dc89ab59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80e9-6c2f-450e-8957-5c7c5458b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0e80e9-6c2f-450e-8957-5c7c5458ba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C97D0-F44F-43A5-A117-0351E70F3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bce98-b762-4681-8d3d-5dc89ab59fb8"/>
    <ds:schemaRef ds:uri="290e80e9-6c2f-450e-8957-5c7c5458b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62B499-4645-4566-9AD9-8C47788D5E9E}">
  <ds:schemaRefs>
    <ds:schemaRef ds:uri="http://schemas.microsoft.com/office/2006/metadata/properties"/>
    <ds:schemaRef ds:uri="http://schemas.microsoft.com/office/infopath/2007/PartnerControls"/>
    <ds:schemaRef ds:uri="290e80e9-6c2f-450e-8957-5c7c5458ba26"/>
  </ds:schemaRefs>
</ds:datastoreItem>
</file>

<file path=customXml/itemProps3.xml><?xml version="1.0" encoding="utf-8"?>
<ds:datastoreItem xmlns:ds="http://schemas.openxmlformats.org/officeDocument/2006/customXml" ds:itemID="{EB02472C-CFA8-4420-A607-4DC70E7DEF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186</cp:revision>
  <dcterms:created xsi:type="dcterms:W3CDTF">2023-11-12T21:03:00Z</dcterms:created>
  <dcterms:modified xsi:type="dcterms:W3CDTF">2025-10-20T13:33:00Z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0x0101009812932E0BF69E4AB97ACA1598840F20</vt:lpwstr>
  </property>
</Properties>
</file>